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AD" w:rsidRDefault="00555FD5" w:rsidP="009761F7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C1121">
        <w:rPr>
          <w:rFonts w:ascii="Garamond" w:hAnsi="Garamond"/>
          <w:b/>
          <w:sz w:val="24"/>
          <w:szCs w:val="24"/>
        </w:rPr>
        <w:t>SURVEY OVERVIEW</w:t>
      </w:r>
      <w:r w:rsidR="00601BAD">
        <w:rPr>
          <w:rFonts w:ascii="Garamond" w:hAnsi="Garamond"/>
          <w:b/>
          <w:sz w:val="24"/>
          <w:szCs w:val="24"/>
        </w:rPr>
        <w:t>S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694"/>
        <w:gridCol w:w="7548"/>
      </w:tblGrid>
      <w:tr w:rsidR="00601BAD" w:rsidTr="00501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Align w:val="center"/>
          </w:tcPr>
          <w:p w:rsidR="00601BAD" w:rsidRPr="006C3CDB" w:rsidRDefault="00601BAD" w:rsidP="008011A6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6C3CDB">
              <w:rPr>
                <w:rFonts w:ascii="Garamond" w:hAnsi="Garamond"/>
                <w:sz w:val="24"/>
                <w:szCs w:val="24"/>
              </w:rPr>
              <w:t>Survey</w:t>
            </w:r>
          </w:p>
        </w:tc>
        <w:tc>
          <w:tcPr>
            <w:tcW w:w="7548" w:type="dxa"/>
            <w:vAlign w:val="center"/>
          </w:tcPr>
          <w:p w:rsidR="00601BAD" w:rsidRPr="008011A6" w:rsidRDefault="00601BAD" w:rsidP="00D77FB5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8011A6">
              <w:rPr>
                <w:rFonts w:ascii="Garamond" w:hAnsi="Garamond"/>
                <w:sz w:val="24"/>
                <w:szCs w:val="24"/>
              </w:rPr>
              <w:t>Overview</w:t>
            </w:r>
          </w:p>
        </w:tc>
      </w:tr>
      <w:tr w:rsidR="00601BAD" w:rsidTr="0050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Align w:val="center"/>
          </w:tcPr>
          <w:p w:rsidR="00601BAD" w:rsidRPr="006C3CDB" w:rsidRDefault="00601BAD" w:rsidP="008011A6">
            <w:pPr>
              <w:rPr>
                <w:rFonts w:ascii="Garamond" w:hAnsi="Garamond"/>
                <w:color w:val="984806" w:themeColor="accent6" w:themeShade="80"/>
                <w:sz w:val="24"/>
                <w:szCs w:val="24"/>
              </w:rPr>
            </w:pPr>
            <w:r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The IGC Coffee Washing Survey</w:t>
            </w:r>
          </w:p>
          <w:p w:rsidR="00601BAD" w:rsidRPr="006C3CDB" w:rsidRDefault="00601BAD" w:rsidP="008011A6">
            <w:pPr>
              <w:rPr>
                <w:rFonts w:ascii="Garamond" w:hAnsi="Garamond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7548" w:type="dxa"/>
            <w:vAlign w:val="center"/>
          </w:tcPr>
          <w:p w:rsidR="00601BAD" w:rsidRPr="00601BAD" w:rsidRDefault="00601BAD" w:rsidP="00D77F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The </w:t>
            </w:r>
            <w:r w:rsidRPr="006C3CDB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>IGC Coffee Washing Survey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contains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data collected from 865 farmers in 2011. It is available under the permission of the IGC. It provides detailed information on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personal characteristics,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financial literac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y,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farm</w:t>
            </w:r>
            <w:proofErr w:type="gramEnd"/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and business activities, amongst other variables.</w:t>
            </w:r>
          </w:p>
        </w:tc>
      </w:tr>
      <w:tr w:rsidR="00601BAD" w:rsidTr="00501A03">
        <w:trPr>
          <w:trHeight w:val="2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Align w:val="center"/>
          </w:tcPr>
          <w:p w:rsidR="00601BAD" w:rsidRPr="006C3CDB" w:rsidRDefault="005B5A16" w:rsidP="008011A6">
            <w:pPr>
              <w:rPr>
                <w:rFonts w:ascii="Garamond" w:hAnsi="Garamond"/>
                <w:color w:val="984806" w:themeColor="accent6" w:themeShade="8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Integrated Household Living Conditions Surveys (</w:t>
            </w:r>
            <w:r w:rsidR="00501A03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EICV</w:t>
            </w:r>
            <w: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)</w:t>
            </w:r>
            <w:r w:rsidR="00501A03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 xml:space="preserve"> 1-3</w:t>
            </w:r>
          </w:p>
          <w:p w:rsidR="00601BAD" w:rsidRPr="006C3CDB" w:rsidRDefault="00601BAD" w:rsidP="008011A6">
            <w:pPr>
              <w:rPr>
                <w:rFonts w:ascii="Garamond" w:hAnsi="Garamond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7548" w:type="dxa"/>
            <w:vAlign w:val="center"/>
          </w:tcPr>
          <w:p w:rsidR="00601BAD" w:rsidRPr="00F14B8E" w:rsidRDefault="00601BAD" w:rsidP="005B5A1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The </w:t>
            </w:r>
            <w:r w:rsidRPr="006C3CDB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>EICV</w:t>
            </w:r>
            <w:r w:rsidR="005D7F2E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>1</w:t>
            </w:r>
            <w:r w:rsidR="0081278D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 xml:space="preserve"> (sample size: 6,540)</w:t>
            </w:r>
            <w:r w:rsidR="005D7F2E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>, EICV2 (sample</w:t>
            </w:r>
            <w:r w:rsidR="005B5A16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 xml:space="preserve"> size:</w:t>
            </w:r>
            <w:r w:rsidR="005D7F2E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 xml:space="preserve"> 6,900 households) and EICV3 (sample</w:t>
            </w:r>
            <w:r w:rsidR="005B5A16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 xml:space="preserve"> size:</w:t>
            </w:r>
            <w:r w:rsidR="005D7F2E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 xml:space="preserve"> 14,308)</w:t>
            </w:r>
            <w:r w:rsidR="00733298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contai</w:t>
            </w:r>
            <w:r w:rsidR="005D7F2E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n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data collected </w:t>
            </w:r>
            <w:r w:rsidR="005D7F2E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in 2000/2001, 2005 and 2010/2011</w:t>
            </w:r>
            <w:r w:rsidR="00501A03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, respectively</w:t>
            </w:r>
            <w:r w:rsidR="005D7F2E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. They are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publically available</w:t>
            </w:r>
            <w:r w:rsidR="00F14B8E">
              <w:t xml:space="preserve"> </w:t>
            </w:r>
            <w:hyperlink r:id="rId8" w:history="1">
              <w:r w:rsidR="00F14B8E">
                <w:rPr>
                  <w:rStyle w:val="Hyperlink"/>
                </w:rPr>
                <w:t>here</w:t>
              </w:r>
            </w:hyperlink>
            <w:r w:rsidR="00F14B8E">
              <w:t xml:space="preserve"> </w:t>
            </w:r>
            <w:r w:rsidR="008D6134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to download from the NISR website</w:t>
            </w:r>
            <w:r w:rsidR="008D613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.</w:t>
            </w:r>
            <w:r w:rsidR="00733298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They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="00733298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provide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detailed information on livestock keeping, land transaction, agricultural equipment and other assets, </w:t>
            </w:r>
            <w:r w:rsidR="005B5A1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land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parcels, </w:t>
            </w:r>
            <w:r w:rsidR="005B5A1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farming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inputs, </w:t>
            </w:r>
            <w:r w:rsidR="005B5A1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household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production, processing, </w:t>
            </w:r>
            <w:proofErr w:type="gramStart"/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consumption</w:t>
            </w:r>
            <w:proofErr w:type="gramEnd"/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expenditure on food and non-food items,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income, transfers,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housing, durables, credit and savings, education, health, migration, employment, amongst other variables.</w:t>
            </w:r>
          </w:p>
        </w:tc>
      </w:tr>
      <w:tr w:rsidR="00601BAD" w:rsidTr="0050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Align w:val="center"/>
          </w:tcPr>
          <w:p w:rsidR="00601BAD" w:rsidRPr="006C3CDB" w:rsidRDefault="00601BAD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  <w:r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Establishment Census</w:t>
            </w:r>
          </w:p>
          <w:p w:rsidR="00601BAD" w:rsidRPr="006C3CDB" w:rsidRDefault="00601BAD" w:rsidP="008011A6">
            <w:pPr>
              <w:rPr>
                <w:rFonts w:ascii="Garamond" w:hAnsi="Garamond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7548" w:type="dxa"/>
            <w:vAlign w:val="center"/>
          </w:tcPr>
          <w:p w:rsidR="00601BAD" w:rsidRPr="00FC1121" w:rsidRDefault="00601BAD" w:rsidP="009635F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The </w:t>
            </w:r>
            <w:r w:rsidRPr="006C3CDB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>Establishment Census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contains data </w:t>
            </w:r>
            <w:r w:rsidR="00CE0D7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collected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fr</w:t>
            </w:r>
            <w:r w:rsidR="00CE0D7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om 123,256 </w:t>
            </w:r>
            <w:r w:rsidR="003B2E73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establishments (organisations, firms, </w:t>
            </w:r>
            <w:proofErr w:type="spellStart"/>
            <w:r w:rsidR="003B2E73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etc</w:t>
            </w:r>
            <w:proofErr w:type="spellEnd"/>
            <w:r w:rsidR="003B2E73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, with physical offices)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in 2011. It is publically available</w:t>
            </w:r>
            <w:r w:rsidR="008D613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hyperlink r:id="rId9" w:history="1">
              <w:r w:rsidR="00EB284E">
                <w:rPr>
                  <w:rStyle w:val="Hyperlink"/>
                  <w:rFonts w:ascii="Garamond" w:eastAsia="Times New Roman" w:hAnsi="Garamond" w:cs="Times New Roman"/>
                  <w:sz w:val="24"/>
                  <w:szCs w:val="24"/>
                  <w:lang w:eastAsia="en-GB"/>
                </w:rPr>
                <w:t>here</w:t>
              </w:r>
            </w:hyperlink>
            <w:r w:rsidR="00EB284E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to download from the NISR website. It provides detailed information on the location, type, number of branches, number of employees according to nationality</w:t>
            </w:r>
            <w:r w:rsidR="000242AC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,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education contract type and gender, nationality of owners, year </w:t>
            </w:r>
            <w:r w:rsidR="009635FD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when operations started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, legal and registration status, gender of </w:t>
            </w:r>
            <w:r w:rsidR="000242AC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the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owner, reported taxes paid, amongst other variables.</w:t>
            </w:r>
          </w:p>
        </w:tc>
      </w:tr>
      <w:tr w:rsidR="00601BAD" w:rsidTr="00501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Align w:val="center"/>
          </w:tcPr>
          <w:p w:rsidR="00601BAD" w:rsidRPr="006C3CDB" w:rsidRDefault="008D6134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 xml:space="preserve">Fourth </w:t>
            </w:r>
            <w:r w:rsid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Population</w:t>
            </w:r>
            <w: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 xml:space="preserve"> and Housing</w:t>
            </w:r>
            <w:r w:rsid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 xml:space="preserve"> C</w:t>
            </w:r>
            <w:r w:rsidR="00601BAD"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 xml:space="preserve">ensus </w:t>
            </w:r>
            <w:r w:rsidR="0052790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(</w:t>
            </w:r>
            <w:r w:rsidR="0052790B" w:rsidRPr="0052790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RPHC4</w:t>
            </w:r>
            <w:r w:rsidR="0052790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 xml:space="preserve">) </w:t>
            </w:r>
            <w:r w:rsidR="00601BAD"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7548" w:type="dxa"/>
            <w:vAlign w:val="center"/>
          </w:tcPr>
          <w:p w:rsidR="00601BAD" w:rsidRPr="00FC1121" w:rsidRDefault="006C3CDB" w:rsidP="00B6674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The </w:t>
            </w:r>
            <w:r w:rsidR="008D6134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 xml:space="preserve">Fourth </w:t>
            </w:r>
            <w:r w:rsidRPr="008D6134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>Population</w:t>
            </w:r>
            <w:r w:rsidR="008D6134" w:rsidRPr="008D6134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 xml:space="preserve"> and Housing</w:t>
            </w:r>
            <w:r w:rsidRPr="008D6134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 xml:space="preserve"> C</w:t>
            </w:r>
            <w:r w:rsidR="00601BAD" w:rsidRPr="008D6134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>ensus</w:t>
            </w:r>
            <w:r w:rsidR="00214A0A" w:rsidRPr="008D6134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="00214A0A" w:rsidRPr="006C3CDB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>2012</w:t>
            </w:r>
            <w:r w:rsidR="00214A0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214A0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contains</w:t>
            </w:r>
            <w:proofErr w:type="gramEnd"/>
            <w:r w:rsidR="00214A0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="00214A0A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households</w:t>
            </w:r>
            <w:r w:rsidR="00214A0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data </w:t>
            </w:r>
            <w:r w:rsidR="00601BAD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collected in </w:t>
            </w:r>
            <w:r w:rsidR="008D613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August </w:t>
            </w:r>
            <w:r w:rsidR="00601BAD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2012. It is publically available </w:t>
            </w:r>
            <w:hyperlink r:id="rId10" w:history="1">
              <w:r w:rsidR="0093615C">
                <w:rPr>
                  <w:rStyle w:val="Hyperlink"/>
                  <w:rFonts w:ascii="Garamond" w:eastAsia="Times New Roman" w:hAnsi="Garamond" w:cs="Times New Roman"/>
                  <w:sz w:val="24"/>
                  <w:szCs w:val="24"/>
                  <w:lang w:eastAsia="en-GB"/>
                </w:rPr>
                <w:t>here</w:t>
              </w:r>
            </w:hyperlink>
            <w:r w:rsidR="0093615C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="00601BAD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to download from the NISR website. It provides </w:t>
            </w:r>
            <w:r w:rsidR="0052790B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information on the </w:t>
            </w:r>
            <w:r w:rsidR="00B6674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characteristics of households and housing</w:t>
            </w:r>
            <w:r w:rsidR="00886C7E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, and more specifically covers the following aspects: </w:t>
            </w:r>
            <w:r w:rsidR="0042737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N</w:t>
            </w:r>
            <w:r w:rsidR="0052790B" w:rsidRPr="0052790B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umber, spatial dis</w:t>
            </w:r>
            <w:r w:rsidR="0052790B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tribution and evolution of the </w:t>
            </w:r>
            <w:r w:rsidR="0052790B" w:rsidRPr="0052790B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households between 1978 and 2012</w:t>
            </w:r>
            <w:r w:rsidR="0042737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;</w:t>
            </w:r>
            <w:r w:rsidR="0052790B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="0042737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p</w:t>
            </w:r>
            <w:r w:rsidR="00427374" w:rsidRPr="0042737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rivate household</w:t>
            </w:r>
            <w:r w:rsidR="0042737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headship rates by age and sex </w:t>
            </w:r>
            <w:r w:rsidR="00427374" w:rsidRPr="0042737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and background characteristics of households </w:t>
            </w:r>
            <w:r w:rsidR="0042737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h</w:t>
            </w:r>
            <w:r w:rsidR="00427374" w:rsidRPr="0042737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eads</w:t>
            </w:r>
            <w:r w:rsidR="0042737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, s</w:t>
            </w:r>
            <w:r w:rsidR="00427374" w:rsidRPr="0042737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ize, type and </w:t>
            </w:r>
            <w:r w:rsidR="0042737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structure of private households; </w:t>
            </w:r>
            <w:r w:rsidR="00427374" w:rsidRPr="0042737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ownership of livestock</w:t>
            </w:r>
            <w:r w:rsidR="00B6674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and other assets</w:t>
            </w:r>
            <w:r w:rsidR="0042737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; t</w:t>
            </w:r>
            <w:r w:rsidR="00427374" w:rsidRPr="0042737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ypes of habita</w:t>
            </w:r>
            <w:r w:rsidR="0042737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t, occupation arrangements and </w:t>
            </w:r>
            <w:r w:rsidR="00427374" w:rsidRPr="0042737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housing tenure</w:t>
            </w:r>
            <w:r w:rsidR="0042737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; p</w:t>
            </w:r>
            <w:r w:rsidR="00427374" w:rsidRPr="0042737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hysical characteris</w:t>
            </w:r>
            <w:r w:rsidR="00886C7E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tics of the main buildings</w:t>
            </w:r>
            <w:r w:rsidR="00B6674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;</w:t>
            </w:r>
            <w:r w:rsidR="0042737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="00427374" w:rsidRPr="0042737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access </w:t>
            </w:r>
            <w:r w:rsidR="0042737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to water, sanitation, hygienic </w:t>
            </w:r>
            <w:r w:rsidR="00427374" w:rsidRPr="0042737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facilities and energy</w:t>
            </w:r>
            <w:r w:rsidR="00B6674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601BAD" w:rsidTr="0050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Align w:val="center"/>
          </w:tcPr>
          <w:p w:rsidR="00601BAD" w:rsidRPr="006C3CDB" w:rsidRDefault="00D202E0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lastRenderedPageBreak/>
              <w:t xml:space="preserve">Rwanda </w:t>
            </w:r>
            <w:r w:rsidR="00D77FB5"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Industrial S</w:t>
            </w:r>
            <w:r w:rsidR="00601BAD"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urvey</w:t>
            </w:r>
            <w: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 xml:space="preserve"> 2011</w:t>
            </w:r>
          </w:p>
          <w:p w:rsidR="00601BAD" w:rsidRPr="006C3CDB" w:rsidRDefault="00601BAD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</w:p>
        </w:tc>
        <w:tc>
          <w:tcPr>
            <w:tcW w:w="7548" w:type="dxa"/>
            <w:vAlign w:val="center"/>
          </w:tcPr>
          <w:p w:rsidR="00601BAD" w:rsidRPr="00FC1121" w:rsidRDefault="00D77FB5" w:rsidP="003B2E7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The </w:t>
            </w:r>
            <w:r w:rsidRPr="006C3CDB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>Industrial Survey</w:t>
            </w:r>
            <w:r w:rsidR="00AD0DD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contains data collected from around 390 </w:t>
            </w:r>
            <w:r w:rsidR="003B2E73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firms </w:t>
            </w:r>
            <w:r w:rsidR="00601BAD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in 2011. It is publically available</w:t>
            </w:r>
            <w:r w:rsidR="00917C3B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hyperlink r:id="rId11" w:history="1">
              <w:r w:rsidR="00917C3B">
                <w:rPr>
                  <w:rStyle w:val="Hyperlink"/>
                </w:rPr>
                <w:t>here</w:t>
              </w:r>
            </w:hyperlink>
            <w:r w:rsidR="00495ADE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="00601BAD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to download from the NISR website. It provides detailed information on </w:t>
            </w:r>
            <w:r w:rsidR="00AD0DD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e</w:t>
            </w:r>
            <w:r w:rsidR="00601BAD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st</w:t>
            </w:r>
            <w:r w:rsidR="00AD0DD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ablishments, their ownership structure, </w:t>
            </w:r>
            <w:proofErr w:type="spellStart"/>
            <w:r w:rsidR="00AD0DD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labor</w:t>
            </w:r>
            <w:proofErr w:type="spellEnd"/>
            <w:r w:rsidR="00AD0DD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, assets, production and</w:t>
            </w:r>
            <w:r w:rsidR="00601BAD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marketing.</w:t>
            </w:r>
          </w:p>
        </w:tc>
      </w:tr>
      <w:tr w:rsidR="00E77514" w:rsidTr="00501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Align w:val="center"/>
          </w:tcPr>
          <w:p w:rsidR="00B81488" w:rsidRPr="006C3CDB" w:rsidRDefault="00B81488" w:rsidP="00B81488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  <w:r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Demographic and Health Survey (DHS)-</w:t>
            </w:r>
            <w:r w:rsidR="00C96191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 xml:space="preserve">1992, </w:t>
            </w:r>
            <w:r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2000</w:t>
            </w:r>
            <w: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 xml:space="preserve"> and 2005</w:t>
            </w:r>
          </w:p>
          <w:p w:rsidR="00E77514" w:rsidRPr="006C3CDB" w:rsidRDefault="00E77514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</w:p>
        </w:tc>
        <w:tc>
          <w:tcPr>
            <w:tcW w:w="7548" w:type="dxa"/>
            <w:vAlign w:val="center"/>
          </w:tcPr>
          <w:p w:rsidR="00C96191" w:rsidRDefault="00B81488" w:rsidP="007D18E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The </w:t>
            </w:r>
            <w:r w:rsidR="005B5A1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Demographic and Health Surveys (DHSs) of</w:t>
            </w:r>
            <w:r w:rsidR="00C9619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1992</w:t>
            </w:r>
            <w:r w:rsidR="005B5A1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, </w:t>
            </w:r>
            <w:r w:rsidRPr="006C3CDB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>2000</w:t>
            </w:r>
            <w:r w:rsidR="005B5A16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>,</w:t>
            </w:r>
            <w:r w:rsidR="009635FD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="0077623A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>and 2005</w:t>
            </w:r>
            <w:r w:rsidR="0077623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="00C9619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contain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dat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a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from</w:t>
            </w:r>
            <w:r w:rsidR="00C9619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6252 households,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="00C9619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9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696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households</w:t>
            </w:r>
            <w:r w:rsidR="00C9619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and 10272 households, respectively.</w:t>
            </w:r>
            <w:r w:rsidR="0049474B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="005B5A1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This includes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household characteristics, </w:t>
            </w:r>
            <w:r w:rsidR="005B5A1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height and weight of household members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, fertility and fertility preferences, family planning</w:t>
            </w:r>
            <w:r w:rsidR="005B5A1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practices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, anaemia and HIV testing, AIDS and other sexually trans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mitted diseases, malaria, domestic v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i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olence, early child mortality, maternal m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ortality, me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dical and psychological support,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child and maternal health care, hygiene and sanitation, </w:t>
            </w:r>
            <w:r w:rsidR="005B5A1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and</w:t>
            </w:r>
            <w:r w:rsidR="005B5A16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other variables.</w:t>
            </w:r>
            <w:r w:rsidR="0077623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</w:p>
          <w:p w:rsidR="005B5A16" w:rsidRPr="005E56E6" w:rsidRDefault="005E56E6" w:rsidP="005E56E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An interim DHS</w:t>
            </w:r>
            <w:r w:rsidR="005B5A16" w:rsidRPr="005E56E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was also carried out in 2007-8</w:t>
            </w:r>
            <w:r w:rsidR="009635FD" w:rsidRPr="005E56E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, </w:t>
            </w:r>
            <w:r w:rsidR="005B5A16" w:rsidRPr="005E56E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provided </w:t>
            </w:r>
            <w:r w:rsidR="009635FD" w:rsidRPr="005E56E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similar information, but omitted variables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such as</w:t>
            </w:r>
            <w:r w:rsidR="009635FD" w:rsidRPr="005E56E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="00BC7EFC">
              <w:rPr>
                <w:rFonts w:ascii="Garamond" w:hAnsi="Garamond"/>
                <w:color w:val="222222"/>
                <w:sz w:val="24"/>
                <w:szCs w:val="24"/>
                <w:shd w:val="clear" w:color="auto" w:fill="FFFFFF"/>
              </w:rPr>
              <w:t>fertility</w:t>
            </w:r>
            <w:r w:rsidRPr="005E56E6">
              <w:rPr>
                <w:rFonts w:ascii="Garamond" w:hAnsi="Garamond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9635FD" w:rsidRPr="005E56E6">
              <w:rPr>
                <w:rFonts w:ascii="Garamond" w:hAnsi="Garamond"/>
                <w:color w:val="222222"/>
                <w:sz w:val="24"/>
                <w:szCs w:val="24"/>
                <w:shd w:val="clear" w:color="auto" w:fill="FFFFFF"/>
              </w:rPr>
              <w:t>maternal</w:t>
            </w:r>
            <w:r>
              <w:rPr>
                <w:rFonts w:ascii="Garamond" w:hAnsi="Garamond"/>
                <w:color w:val="222222"/>
                <w:sz w:val="24"/>
                <w:szCs w:val="24"/>
              </w:rPr>
              <w:t xml:space="preserve"> </w:t>
            </w:r>
            <w:r w:rsidR="009635FD" w:rsidRPr="005E56E6">
              <w:rPr>
                <w:rFonts w:ascii="Garamond" w:hAnsi="Garamond"/>
                <w:color w:val="222222"/>
                <w:sz w:val="24"/>
                <w:szCs w:val="24"/>
                <w:shd w:val="clear" w:color="auto" w:fill="FFFFFF"/>
              </w:rPr>
              <w:t>and child health or nutrition</w:t>
            </w:r>
            <w:r>
              <w:rPr>
                <w:rFonts w:ascii="Garamond" w:hAnsi="Garamond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5B5A16" w:rsidRDefault="0077623A" w:rsidP="007D18E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The DHS 2010</w:t>
            </w:r>
            <w:r w:rsidR="00B22C8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="00B22C86" w:rsidRPr="0049474B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>(sample</w:t>
            </w:r>
            <w:r w:rsidR="005B5A16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 xml:space="preserve"> size:</w:t>
            </w:r>
            <w:r w:rsidR="00B22C86" w:rsidRPr="0049474B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 xml:space="preserve"> 12,540 households)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="005B5A1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adds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variables</w:t>
            </w:r>
            <w:r w:rsidR="005B5A1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not included in previous DHS surveys, including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="00B81488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health expenditures, health insurance,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men</w:t>
            </w:r>
            <w:r w:rsidR="005B5A1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’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s survey</w:t>
            </w:r>
            <w:r w:rsidR="00425D0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(weight, number of eligible men, circumcision practices)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, reproductive calendar, social marketing, tobacco use</w:t>
            </w:r>
            <w:r w:rsidR="00C9619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, </w:t>
            </w:r>
            <w:r w:rsidR="005B5A1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and </w:t>
            </w:r>
            <w:r w:rsidR="00C9619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others</w:t>
            </w:r>
            <w:r w:rsidR="005B5A16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.</w:t>
            </w:r>
          </w:p>
          <w:p w:rsidR="00C96191" w:rsidRPr="00FC1121" w:rsidRDefault="005B5A16" w:rsidP="007D18E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All DHSs are</w:t>
            </w:r>
            <w:r w:rsidR="00C9619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="00C96191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publically available</w:t>
            </w:r>
            <w:r w:rsidR="001B7DBC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hyperlink r:id="rId12" w:history="1">
              <w:r w:rsidR="001B7DBC">
                <w:rPr>
                  <w:rStyle w:val="Hyperlink"/>
                  <w:rFonts w:ascii="Garamond" w:eastAsia="Times New Roman" w:hAnsi="Garamond" w:cs="Times New Roman"/>
                  <w:sz w:val="24"/>
                  <w:szCs w:val="24"/>
                  <w:lang w:eastAsia="en-GB"/>
                </w:rPr>
                <w:t>here</w:t>
              </w:r>
            </w:hyperlink>
            <w:r w:rsidR="001B7DBC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="00C96191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to download from the NISR website.</w:t>
            </w:r>
          </w:p>
        </w:tc>
      </w:tr>
      <w:tr w:rsidR="00601BAD" w:rsidTr="0050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Align w:val="center"/>
          </w:tcPr>
          <w:p w:rsidR="00601BAD" w:rsidRPr="006C3CDB" w:rsidRDefault="00601BAD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  <w:r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Pay As You Earn (PAYE)</w:t>
            </w:r>
          </w:p>
          <w:p w:rsidR="00601BAD" w:rsidRPr="006C3CDB" w:rsidRDefault="00601BAD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</w:p>
        </w:tc>
        <w:tc>
          <w:tcPr>
            <w:tcW w:w="7548" w:type="dxa"/>
            <w:vAlign w:val="center"/>
          </w:tcPr>
          <w:p w:rsidR="00601BAD" w:rsidRPr="00FC1121" w:rsidRDefault="00601BAD" w:rsidP="00767A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The </w:t>
            </w:r>
            <w:r w:rsidRPr="006C3CDB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 xml:space="preserve">Pay As You Earn (PAYE)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contains data from taxpayers for 2009 and 2010. It is available under the permission of the RRA</w:t>
            </w:r>
            <w:r w:rsidR="00427845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(which can be requested through the IGC for an IGC study)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. It provides detailed information on professional tax (TPR) for Large &amp; Medium &amp; Small</w:t>
            </w:r>
            <w:r w:rsidR="00767A5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businesses,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the key variables being the type of </w:t>
            </w:r>
            <w:r w:rsidR="00767A5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activity, taxes paid and due taxes.</w:t>
            </w:r>
          </w:p>
        </w:tc>
      </w:tr>
      <w:tr w:rsidR="00601BAD" w:rsidTr="00501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Align w:val="center"/>
          </w:tcPr>
          <w:p w:rsidR="00601BAD" w:rsidRPr="006C3CDB" w:rsidRDefault="00601BAD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</w:p>
          <w:p w:rsidR="00601BAD" w:rsidRPr="006C3CDB" w:rsidRDefault="00601BAD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  <w:r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 xml:space="preserve">Corporate Income Tax (CIT) </w:t>
            </w:r>
          </w:p>
          <w:p w:rsidR="00601BAD" w:rsidRPr="006C3CDB" w:rsidRDefault="00601BAD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</w:p>
        </w:tc>
        <w:tc>
          <w:tcPr>
            <w:tcW w:w="7548" w:type="dxa"/>
            <w:vAlign w:val="center"/>
          </w:tcPr>
          <w:p w:rsidR="00601BAD" w:rsidRPr="00FC1121" w:rsidRDefault="00601BAD" w:rsidP="00D77FB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The </w:t>
            </w:r>
            <w:r w:rsidRPr="006C3CDB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>Corporate Income Tax (CIT)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contains data from taxpayers from 2011 to 2013. It is available under the permission of the RRA</w:t>
            </w:r>
            <w:r w:rsidR="00427845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(which can be requested through the IGC for an IGC study)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. It provides detailed information on t</w:t>
            </w:r>
            <w:r w:rsidR="00767A5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ype of main activity, expenses, investment income, gross profit/loss,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w</w:t>
            </w:r>
            <w:r w:rsidR="00767A5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ithholding on imports, tenders, deductions, corporate income tax payable, foreign tax credit,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audit</w:t>
            </w:r>
            <w:r w:rsidR="00767A5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adjustment, tax paid,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tax due</w:t>
            </w:r>
            <w:r w:rsidR="00767A5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, </w:t>
            </w:r>
            <w:proofErr w:type="gramStart"/>
            <w:r w:rsidR="00767A5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tax</w:t>
            </w:r>
            <w:proofErr w:type="gramEnd"/>
            <w:r w:rsidR="00767A5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payment regime.</w:t>
            </w:r>
          </w:p>
        </w:tc>
      </w:tr>
      <w:tr w:rsidR="00601BAD" w:rsidTr="0050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Align w:val="center"/>
          </w:tcPr>
          <w:p w:rsidR="00601BAD" w:rsidRPr="006C3CDB" w:rsidRDefault="00601BAD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</w:p>
          <w:p w:rsidR="00601BAD" w:rsidRPr="006C3CDB" w:rsidRDefault="00601BAD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  <w:r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Personal Income Tax (PIT)</w:t>
            </w:r>
          </w:p>
          <w:p w:rsidR="00601BAD" w:rsidRPr="006C3CDB" w:rsidRDefault="00601BAD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</w:p>
        </w:tc>
        <w:tc>
          <w:tcPr>
            <w:tcW w:w="7548" w:type="dxa"/>
            <w:vAlign w:val="center"/>
          </w:tcPr>
          <w:p w:rsidR="00601BAD" w:rsidRPr="007A0031" w:rsidRDefault="00601BAD" w:rsidP="00D77F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The </w:t>
            </w:r>
            <w:r w:rsidRPr="006C3CDB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>Personal Income Tax (PIT)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contains data from taxpayers from 2011 to 2013. It is available under the permission of the RRA</w:t>
            </w:r>
            <w:r w:rsidR="00427845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(which can be requested through the IGC for an IGC study)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. It provides detailed information on </w:t>
            </w:r>
            <w:r w:rsidRPr="00FC11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the type of </w:t>
            </w:r>
            <w:r w:rsidR="00767A5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main activity, business income/sales, opening and closing stock, costs of goods sold, expenses, investment income, gross profit/loss, deductions, personal income tax payable, audit adjustment, tax paid,</w:t>
            </w:r>
            <w:r w:rsidRPr="00FC11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withholding</w:t>
            </w:r>
            <w:r w:rsidR="00767A5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on imports, on public tenders, </w:t>
            </w:r>
            <w:r w:rsidRPr="00FC11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overpaymen</w:t>
            </w:r>
            <w:r w:rsidR="00767A5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t, tax due, </w:t>
            </w:r>
            <w:proofErr w:type="gramStart"/>
            <w:r w:rsidRPr="00FC11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tax</w:t>
            </w:r>
            <w:proofErr w:type="gramEnd"/>
            <w:r w:rsidRPr="00FC11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payment regime.</w:t>
            </w:r>
          </w:p>
        </w:tc>
      </w:tr>
      <w:tr w:rsidR="00601BAD" w:rsidTr="00501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Align w:val="center"/>
          </w:tcPr>
          <w:p w:rsidR="00601BAD" w:rsidRPr="006C3CDB" w:rsidRDefault="00601BAD" w:rsidP="005723D7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  <w:r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Value Added Tax (VAT)</w:t>
            </w:r>
          </w:p>
        </w:tc>
        <w:tc>
          <w:tcPr>
            <w:tcW w:w="7548" w:type="dxa"/>
            <w:vAlign w:val="center"/>
          </w:tcPr>
          <w:p w:rsidR="00601BAD" w:rsidRPr="007A0031" w:rsidRDefault="00601BAD" w:rsidP="00D77FB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The </w:t>
            </w:r>
            <w:r w:rsidRPr="006C3CDB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>Value Added Tax (VAT)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contains data from taxpayers from 2009 to 2012. It is available under the permission of the RRA</w:t>
            </w:r>
            <w:r w:rsidR="00427845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(which can be requested through the IGC for an IGC study)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. It provides detailed information on </w:t>
            </w:r>
            <w:r w:rsidR="005723D7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the </w:t>
            </w:r>
            <w:r w:rsidR="005723D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t</w:t>
            </w:r>
            <w:r w:rsidRPr="00FC11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ype of main </w:t>
            </w:r>
            <w:r w:rsidR="005723D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activity, exempted sales, zero-rated sales, exports, total non-</w:t>
            </w:r>
            <w:proofErr w:type="spellStart"/>
            <w:r w:rsidR="005723D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tradables</w:t>
            </w:r>
            <w:proofErr w:type="spellEnd"/>
            <w:r w:rsidR="005723D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, taxable sales subject to VAT,</w:t>
            </w:r>
            <w:r w:rsidRPr="00FC11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VAT on imports</w:t>
            </w:r>
            <w:r w:rsidR="005723D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, on inputs, on local purchases, VAT due,</w:t>
            </w:r>
            <w:r w:rsidRPr="00FC11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VAT payment regime</w:t>
            </w:r>
            <w:r w:rsidR="005723D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601BAD" w:rsidTr="0050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Align w:val="center"/>
          </w:tcPr>
          <w:p w:rsidR="00601BAD" w:rsidRPr="006C3CDB" w:rsidRDefault="00601BAD" w:rsidP="000B00C1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  <w:r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Agricultural Prices</w:t>
            </w:r>
          </w:p>
        </w:tc>
        <w:tc>
          <w:tcPr>
            <w:tcW w:w="7548" w:type="dxa"/>
            <w:vAlign w:val="center"/>
          </w:tcPr>
          <w:p w:rsidR="00601BAD" w:rsidRPr="000B00C1" w:rsidRDefault="00601BAD" w:rsidP="00D77F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0B00C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The </w:t>
            </w:r>
            <w:r w:rsidR="000B00C1" w:rsidRPr="006C3CDB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>Agricultural Prices</w:t>
            </w:r>
            <w:r w:rsidR="000B00C1" w:rsidRPr="00A5776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Pr="000B00C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contains </w:t>
            </w:r>
            <w:r w:rsidR="000B00C1" w:rsidRPr="000B00C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price data for the period of January 1997-March 2011</w:t>
            </w:r>
            <w:r w:rsidRPr="000B00C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. It is available</w:t>
            </w:r>
            <w:r w:rsidR="000B00C1" w:rsidRPr="000B00C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under the permission of the Ministry of Agriculture and Animal Resources</w:t>
            </w:r>
            <w:r w:rsidR="00A5776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(MINAGRI)</w:t>
            </w:r>
            <w:r w:rsidR="00427845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(which can be requested through the IGC for an IGC study)</w:t>
            </w:r>
            <w:r w:rsidRPr="000B00C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. It provides detailed information on </w:t>
            </w:r>
            <w:r w:rsidRPr="000B00C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agricultural </w:t>
            </w:r>
            <w:r w:rsidR="000B00C1" w:rsidRPr="000B00C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p</w:t>
            </w:r>
            <w:r w:rsidRPr="000B00C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rices, the key variables being </w:t>
            </w:r>
            <w:r w:rsidRPr="000B00C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the </w:t>
            </w:r>
            <w:r w:rsidR="000B00C1" w:rsidRPr="000B00C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n</w:t>
            </w:r>
            <w:r w:rsidR="000B00C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ame of the market,</w:t>
            </w:r>
            <w:r w:rsidRPr="000B00C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pric</w:t>
            </w:r>
            <w:r w:rsidR="000B00C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es of agricultural produce sold,</w:t>
            </w:r>
            <w:r w:rsidRPr="000B00C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price of fertilizers.</w:t>
            </w:r>
          </w:p>
        </w:tc>
      </w:tr>
      <w:tr w:rsidR="00601BAD" w:rsidTr="00501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Align w:val="center"/>
          </w:tcPr>
          <w:p w:rsidR="00601BAD" w:rsidRPr="006C3CDB" w:rsidRDefault="00B22C86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Cost of Living</w:t>
            </w:r>
            <w:r w:rsidR="00601BAD"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 xml:space="preserve"> Prices </w:t>
            </w:r>
          </w:p>
          <w:p w:rsidR="00601BAD" w:rsidRPr="006C3CDB" w:rsidRDefault="00601BAD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</w:p>
        </w:tc>
        <w:tc>
          <w:tcPr>
            <w:tcW w:w="7548" w:type="dxa"/>
            <w:vAlign w:val="center"/>
          </w:tcPr>
          <w:p w:rsidR="00601BAD" w:rsidRPr="00A5776A" w:rsidRDefault="003F1B77" w:rsidP="0073329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The </w:t>
            </w:r>
            <w:r w:rsidR="00B22C86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>Cost of Living</w:t>
            </w:r>
            <w:r w:rsidR="00A5776A" w:rsidRPr="006C3CDB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 xml:space="preserve"> Prices</w:t>
            </w:r>
            <w:r w:rsidR="00A5776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contains data </w:t>
            </w:r>
            <w:r w:rsidR="00A5776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covering the period of January 2004-June 2011.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It is available</w:t>
            </w:r>
            <w:r w:rsidR="00733298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upon request (through the IGC).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It provides detailed information on </w:t>
            </w:r>
            <w:r w:rsidR="00A577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p</w:t>
            </w:r>
            <w:r w:rsidRPr="00FC11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rice of food and non-food items</w:t>
            </w:r>
            <w:r w:rsidR="007A00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3F1B77" w:rsidTr="0050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Align w:val="center"/>
          </w:tcPr>
          <w:p w:rsidR="003F1B77" w:rsidRPr="006C3CDB" w:rsidRDefault="003F1B77" w:rsidP="008011A6">
            <w:pPr>
              <w:rPr>
                <w:rFonts w:ascii="Garamond" w:hAnsi="Garamond"/>
                <w:color w:val="984806" w:themeColor="accent6" w:themeShade="80"/>
                <w:sz w:val="24"/>
                <w:szCs w:val="24"/>
              </w:rPr>
            </w:pPr>
          </w:p>
          <w:p w:rsidR="003F1B77" w:rsidRPr="006C3CDB" w:rsidRDefault="0003572C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Consumer Price Index (</w:t>
            </w:r>
            <w:r w:rsidR="003F1B77"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CPI</w:t>
            </w:r>
            <w: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)</w:t>
            </w:r>
          </w:p>
          <w:p w:rsidR="003F1B77" w:rsidRPr="006C3CDB" w:rsidRDefault="003F1B77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</w:p>
        </w:tc>
        <w:tc>
          <w:tcPr>
            <w:tcW w:w="7548" w:type="dxa"/>
            <w:vAlign w:val="center"/>
          </w:tcPr>
          <w:p w:rsidR="003F1B77" w:rsidRPr="007A0031" w:rsidRDefault="003F1B77" w:rsidP="00A5776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The </w:t>
            </w:r>
            <w:r w:rsidR="00A5776A" w:rsidRPr="006C3CDB">
              <w:rPr>
                <w:rFonts w:ascii="Garamond" w:eastAsia="Times New Roman" w:hAnsi="Garamond" w:cs="Times New Roman"/>
                <w:i/>
                <w:color w:val="000000"/>
                <w:sz w:val="24"/>
                <w:szCs w:val="24"/>
                <w:lang w:eastAsia="en-GB"/>
              </w:rPr>
              <w:t>CPI</w:t>
            </w:r>
            <w:r w:rsidR="00A577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dataset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contains data </w:t>
            </w:r>
            <w:r w:rsidR="00A5776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dating back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from </w:t>
            </w:r>
            <w:r w:rsidR="00A5776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February 2009 to February 2012. </w:t>
            </w:r>
            <w:r w:rsidR="00A5776A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It is publically available to download from the NISR website.</w:t>
            </w:r>
            <w:r w:rsidR="00A5776A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It provides detailed information on</w:t>
            </w:r>
            <w:r w:rsidRPr="00FC1121"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FC11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Consumer Price Index</w:t>
            </w:r>
            <w:r w:rsidR="007A003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3F1B77" w:rsidTr="00501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Align w:val="center"/>
          </w:tcPr>
          <w:p w:rsidR="003F1B77" w:rsidRPr="006C3CDB" w:rsidRDefault="003F1B77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</w:p>
          <w:p w:rsidR="003F1B77" w:rsidRPr="006C3CDB" w:rsidRDefault="00726A33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  <w:r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Business I</w:t>
            </w:r>
            <w:r w:rsidR="003F1B77"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 xml:space="preserve">nvestment </w:t>
            </w:r>
            <w:r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Environment S</w:t>
            </w:r>
            <w:r w:rsidR="003F1B77"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urvey</w:t>
            </w:r>
          </w:p>
          <w:p w:rsidR="003F1B77" w:rsidRPr="006C3CDB" w:rsidRDefault="003F1B77" w:rsidP="008011A6">
            <w:pPr>
              <w:rPr>
                <w:rFonts w:ascii="Garamond" w:hAnsi="Garamond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7548" w:type="dxa"/>
            <w:vAlign w:val="center"/>
          </w:tcPr>
          <w:p w:rsidR="003F1B77" w:rsidRPr="007A0031" w:rsidRDefault="003F1B77" w:rsidP="00726A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The </w:t>
            </w:r>
            <w:r w:rsidR="00726A33" w:rsidRPr="006C3CDB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>Business Investment Environment Survey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="006C3CDB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contains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data </w:t>
            </w:r>
            <w:r w:rsidR="00726A33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for 2009.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="00726A33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It is publically available </w:t>
            </w:r>
            <w:hyperlink r:id="rId13" w:history="1">
              <w:r w:rsidR="00917C3B">
                <w:rPr>
                  <w:rStyle w:val="Hyperlink"/>
                </w:rPr>
                <w:t>here</w:t>
              </w:r>
            </w:hyperlink>
            <w:r w:rsidR="00917C3B">
              <w:t xml:space="preserve"> </w:t>
            </w:r>
            <w:r w:rsidR="00726A33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to download from the NISR website.</w:t>
            </w:r>
            <w:r w:rsidR="00726A33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It provides detailed information on</w:t>
            </w:r>
            <w:r w:rsidRPr="00FC1121"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726A3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s</w:t>
            </w:r>
            <w:r w:rsidRPr="00FC11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ector performance, challenges, finance, size (microenterprises, </w:t>
            </w:r>
            <w:r w:rsidR="00726A3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SMEs, large businesses), amongst other variables.</w:t>
            </w:r>
          </w:p>
        </w:tc>
      </w:tr>
      <w:tr w:rsidR="003F1B77" w:rsidTr="0050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Align w:val="center"/>
          </w:tcPr>
          <w:p w:rsidR="003F1B77" w:rsidRPr="006C3CDB" w:rsidRDefault="003F1B77" w:rsidP="008011A6">
            <w:pPr>
              <w:rPr>
                <w:rFonts w:ascii="Garamond" w:hAnsi="Garamond"/>
                <w:color w:val="984806" w:themeColor="accent6" w:themeShade="80"/>
                <w:sz w:val="24"/>
                <w:szCs w:val="24"/>
              </w:rPr>
            </w:pPr>
            <w:r w:rsidRPr="006C3CDB">
              <w:rPr>
                <w:rFonts w:ascii="Garamond" w:hAnsi="Garamond"/>
                <w:color w:val="984806" w:themeColor="accent6" w:themeShade="80"/>
                <w:sz w:val="24"/>
                <w:szCs w:val="24"/>
              </w:rPr>
              <w:lastRenderedPageBreak/>
              <w:t xml:space="preserve">Macro Accounts </w:t>
            </w:r>
          </w:p>
          <w:p w:rsidR="003F1B77" w:rsidRPr="006C3CDB" w:rsidRDefault="003F1B77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</w:p>
        </w:tc>
        <w:tc>
          <w:tcPr>
            <w:tcW w:w="7548" w:type="dxa"/>
            <w:vAlign w:val="center"/>
          </w:tcPr>
          <w:p w:rsidR="003F1B77" w:rsidRPr="007A0031" w:rsidRDefault="003F1B77" w:rsidP="00D77F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The </w:t>
            </w:r>
            <w:r w:rsidRPr="006C3CDB">
              <w:rPr>
                <w:rFonts w:ascii="Garamond" w:hAnsi="Garamond"/>
                <w:i/>
                <w:sz w:val="24"/>
                <w:szCs w:val="24"/>
              </w:rPr>
              <w:t>Macro Accounts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contain</w:t>
            </w:r>
            <w:r w:rsidR="009F620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s data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from 2000 to 2011</w:t>
            </w:r>
            <w:r w:rsidR="009F620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. </w:t>
            </w:r>
            <w:r w:rsidR="009F6204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It is publically ava</w:t>
            </w:r>
            <w:r w:rsidR="009F620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ilable to download from the MINECOFIN</w:t>
            </w:r>
            <w:r w:rsidR="009F6204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website.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It provides detailed information on </w:t>
            </w:r>
            <w:r w:rsidR="009F6204">
              <w:rPr>
                <w:rFonts w:ascii="Garamond" w:hAnsi="Garamond"/>
                <w:sz w:val="24"/>
                <w:szCs w:val="24"/>
              </w:rPr>
              <w:t>e</w:t>
            </w:r>
            <w:r w:rsidRPr="00FC1121">
              <w:rPr>
                <w:rFonts w:ascii="Garamond" w:hAnsi="Garamond"/>
                <w:sz w:val="24"/>
                <w:szCs w:val="24"/>
              </w:rPr>
              <w:t>xternal accounts</w:t>
            </w:r>
            <w:r w:rsidRPr="00FC11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9F620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and more</w:t>
            </w:r>
            <w:r w:rsidRPr="00FC11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on l</w:t>
            </w:r>
            <w:r w:rsidR="009F620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ocal and imported inflation,</w:t>
            </w:r>
            <w:r w:rsidRPr="00FC11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GDP (production and expenditure app</w:t>
            </w:r>
            <w:r w:rsidR="009F620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roaches),</w:t>
            </w:r>
            <w:r w:rsidRPr="00FC11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F620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balance of payment,</w:t>
            </w:r>
            <w:r w:rsidRPr="00FC11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net fore</w:t>
            </w:r>
            <w:r w:rsidR="009F620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ign assets, net domestic assets,</w:t>
            </w:r>
            <w:r w:rsidRPr="00FC11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broad money liabilities (M3).</w:t>
            </w:r>
            <w:bookmarkEnd w:id="0"/>
          </w:p>
        </w:tc>
      </w:tr>
      <w:tr w:rsidR="003F1B77" w:rsidTr="00501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Align w:val="center"/>
          </w:tcPr>
          <w:p w:rsidR="003F1B77" w:rsidRPr="006C3CDB" w:rsidRDefault="003F1B77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</w:p>
          <w:p w:rsidR="003F1B77" w:rsidRPr="006C3CDB" w:rsidRDefault="003F1B77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  <w:r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Trade Survey [2012-2014, MINEAC]</w:t>
            </w:r>
          </w:p>
          <w:p w:rsidR="003F1B77" w:rsidRPr="006C3CDB" w:rsidRDefault="003F1B77" w:rsidP="008011A6">
            <w:pPr>
              <w:rPr>
                <w:rFonts w:ascii="Garamond" w:hAnsi="Garamond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7548" w:type="dxa"/>
            <w:vAlign w:val="center"/>
          </w:tcPr>
          <w:p w:rsidR="003F1B77" w:rsidRPr="007A0031" w:rsidRDefault="003F1B77" w:rsidP="009F620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The </w:t>
            </w:r>
            <w:r w:rsidRPr="006C3CDB">
              <w:rPr>
                <w:rFonts w:ascii="Garamond" w:eastAsia="Times New Roman" w:hAnsi="Garamond" w:cs="Times New Roman"/>
                <w:i/>
                <w:color w:val="000000"/>
                <w:sz w:val="24"/>
                <w:szCs w:val="24"/>
                <w:lang w:eastAsia="en-GB"/>
              </w:rPr>
              <w:t>Trade Survey [2012-2014, MINEAC]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contains</w:t>
            </w:r>
            <w:r w:rsidR="009F620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data for the period of 2012-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2014. </w:t>
            </w:r>
            <w:r w:rsidR="009F6204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It is publically ava</w:t>
            </w:r>
            <w:r w:rsidR="009F620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ilable </w:t>
            </w:r>
            <w:hyperlink r:id="rId14" w:history="1">
              <w:r w:rsidR="0049474B">
                <w:rPr>
                  <w:rStyle w:val="Hyperlink"/>
                  <w:rFonts w:ascii="Garamond" w:eastAsia="Times New Roman" w:hAnsi="Garamond" w:cs="Times New Roman"/>
                  <w:sz w:val="24"/>
                  <w:szCs w:val="24"/>
                  <w:lang w:eastAsia="en-GB"/>
                </w:rPr>
                <w:t>here</w:t>
              </w:r>
            </w:hyperlink>
            <w:r w:rsidR="0049474B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="009F6204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to download from the MINEAC</w:t>
            </w:r>
            <w:r w:rsidR="009F6204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website.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It provides detailed information on </w:t>
            </w:r>
            <w:r w:rsidRPr="00FC11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annual informal cross-border trade statistics, more specifically on e</w:t>
            </w:r>
            <w:r w:rsidR="009F620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xports, imports,</w:t>
            </w:r>
            <w:r w:rsidRPr="00FC11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trading partner </w:t>
            </w:r>
            <w:r w:rsidR="009F620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(country)/indicators,</w:t>
            </w:r>
            <w:r w:rsidRPr="00FC11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value.</w:t>
            </w:r>
          </w:p>
        </w:tc>
      </w:tr>
      <w:tr w:rsidR="003F1B77" w:rsidTr="0050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Align w:val="center"/>
          </w:tcPr>
          <w:p w:rsidR="003F1B77" w:rsidRPr="006C3CDB" w:rsidRDefault="003F1B77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  <w:r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Trade Survey [2009-2013, MINEAC]</w:t>
            </w:r>
          </w:p>
          <w:p w:rsidR="003F1B77" w:rsidRPr="006C3CDB" w:rsidRDefault="003F1B77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</w:p>
        </w:tc>
        <w:tc>
          <w:tcPr>
            <w:tcW w:w="7548" w:type="dxa"/>
            <w:vAlign w:val="center"/>
          </w:tcPr>
          <w:p w:rsidR="003F1B77" w:rsidRPr="00FC1121" w:rsidRDefault="003F1B77" w:rsidP="004A6F3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The </w:t>
            </w:r>
            <w:r w:rsidRPr="006C3CDB">
              <w:rPr>
                <w:rFonts w:ascii="Garamond" w:eastAsia="Times New Roman" w:hAnsi="Garamond" w:cs="Times New Roman"/>
                <w:i/>
                <w:color w:val="000000"/>
                <w:sz w:val="24"/>
                <w:szCs w:val="24"/>
                <w:lang w:eastAsia="en-GB"/>
              </w:rPr>
              <w:t>Trade Survey [2009-2013, MINEAC]</w:t>
            </w:r>
            <w:r w:rsidRPr="00FC11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contains data </w:t>
            </w:r>
            <w:r w:rsidR="004A6F3B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for 2009-2013</w:t>
            </w:r>
            <w:r w:rsidR="004A6F3B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It is publically ava</w:t>
            </w:r>
            <w:r w:rsidR="004A6F3B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ilable</w:t>
            </w:r>
            <w:r w:rsidR="00917C3B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hyperlink r:id="rId15" w:history="1">
              <w:r w:rsidR="00917C3B">
                <w:rPr>
                  <w:rStyle w:val="Hyperlink"/>
                  <w:rFonts w:ascii="Garamond" w:eastAsia="Times New Roman" w:hAnsi="Garamond" w:cs="Times New Roman"/>
                  <w:sz w:val="24"/>
                  <w:szCs w:val="24"/>
                  <w:lang w:eastAsia="en-GB"/>
                </w:rPr>
                <w:t>here</w:t>
              </w:r>
            </w:hyperlink>
            <w:r w:rsidR="00917C3B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="004A6F3B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to download from the MINEAC</w:t>
            </w:r>
            <w:r w:rsidR="004A6F3B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website.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It provides detailed information on </w:t>
            </w:r>
            <w:r w:rsidR="004A6F3B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Rwanda intra 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EAC quarterly external trade statistics performance in milli</w:t>
            </w:r>
            <w:r w:rsidR="004A6F3B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ons of USD,</w:t>
            </w:r>
            <w:r w:rsidRPr="00FC11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more specifically on exports, imports, trading partner (country)/indica</w:t>
            </w:r>
            <w:r w:rsidR="004A6F3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tors by quarter (Q1, Q2,Q3,Q4),</w:t>
            </w:r>
            <w:r w:rsidRPr="00FC11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A6F3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then the </w:t>
            </w:r>
            <w:r w:rsidRPr="00FC1121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value.  </w:t>
            </w:r>
          </w:p>
        </w:tc>
      </w:tr>
      <w:tr w:rsidR="003F1B77" w:rsidTr="00501A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Align w:val="center"/>
          </w:tcPr>
          <w:p w:rsidR="003F1B77" w:rsidRPr="006C3CDB" w:rsidRDefault="003F1B77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  <w:r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World Bank Macro</w:t>
            </w:r>
            <w:r w:rsidR="00FB5710"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 xml:space="preserve"> </w:t>
            </w:r>
            <w:r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 xml:space="preserve">data </w:t>
            </w:r>
          </w:p>
          <w:p w:rsidR="003F1B77" w:rsidRPr="006C3CDB" w:rsidRDefault="003F1B77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</w:p>
        </w:tc>
        <w:tc>
          <w:tcPr>
            <w:tcW w:w="7548" w:type="dxa"/>
            <w:vAlign w:val="center"/>
          </w:tcPr>
          <w:p w:rsidR="003F1B77" w:rsidRPr="007A0031" w:rsidRDefault="00FB5710" w:rsidP="00FB57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The </w:t>
            </w:r>
            <w:r w:rsidRPr="006C3CDB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>World Bank Macro data</w:t>
            </w:r>
            <w:r w:rsidR="003F1B77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contains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country data basically covering the period of </w:t>
            </w:r>
            <w:r>
              <w:rPr>
                <w:rFonts w:ascii="Garamond" w:hAnsi="Garamond"/>
                <w:sz w:val="24"/>
                <w:szCs w:val="24"/>
              </w:rPr>
              <w:t>1960-</w:t>
            </w:r>
            <w:r w:rsidRPr="00FC1121">
              <w:rPr>
                <w:rFonts w:ascii="Garamond" w:hAnsi="Garamond"/>
                <w:sz w:val="24"/>
                <w:szCs w:val="24"/>
              </w:rPr>
              <w:t>2013.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F1B77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It is publically available</w:t>
            </w:r>
            <w:r w:rsidR="00917C3B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hyperlink r:id="rId16" w:history="1">
              <w:r w:rsidR="00917C3B">
                <w:rPr>
                  <w:rStyle w:val="Hyperlink"/>
                  <w:rFonts w:ascii="Garamond" w:eastAsia="Times New Roman" w:hAnsi="Garamond" w:cs="Times New Roman"/>
                  <w:sz w:val="24"/>
                  <w:szCs w:val="24"/>
                  <w:lang w:eastAsia="en-GB"/>
                </w:rPr>
                <w:t>here</w:t>
              </w:r>
            </w:hyperlink>
            <w:r w:rsidR="00917C3B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="003F1B77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to download from the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World Bank</w:t>
            </w:r>
            <w:r w:rsidR="003F1B77"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website. It provides detailed information on</w:t>
            </w:r>
            <w:r w:rsidR="003F1B77" w:rsidRPr="00FC1121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r w:rsidR="003F1B77" w:rsidRPr="00FC1121">
              <w:rPr>
                <w:rFonts w:ascii="Garamond" w:hAnsi="Garamond"/>
                <w:sz w:val="24"/>
                <w:szCs w:val="24"/>
              </w:rPr>
              <w:t xml:space="preserve">griculture, social protection, current account, pollution, external account, doing business/ business environment, infrastructure, military, consumption, capital, value addition, women, health, income poverty, </w:t>
            </w:r>
            <w:r>
              <w:rPr>
                <w:rFonts w:ascii="Garamond" w:hAnsi="Garamond"/>
                <w:sz w:val="24"/>
                <w:szCs w:val="24"/>
              </w:rPr>
              <w:t>employment, demography.</w:t>
            </w:r>
          </w:p>
        </w:tc>
      </w:tr>
      <w:tr w:rsidR="003F1B77" w:rsidTr="0050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vAlign w:val="center"/>
          </w:tcPr>
          <w:p w:rsidR="003F1B77" w:rsidRPr="006C3CDB" w:rsidRDefault="003F1B77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  <w:r w:rsidRPr="006C3CDB"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  <w:t>World Bank Country Survey micro data</w:t>
            </w:r>
          </w:p>
          <w:p w:rsidR="003F1B77" w:rsidRPr="006C3CDB" w:rsidRDefault="003F1B77" w:rsidP="008011A6">
            <w:pPr>
              <w:rPr>
                <w:rFonts w:ascii="Garamond" w:eastAsia="Times New Roman" w:hAnsi="Garamond" w:cs="Times New Roman"/>
                <w:color w:val="984806" w:themeColor="accent6" w:themeShade="80"/>
                <w:sz w:val="24"/>
                <w:szCs w:val="24"/>
                <w:lang w:eastAsia="en-GB"/>
              </w:rPr>
            </w:pPr>
          </w:p>
        </w:tc>
        <w:tc>
          <w:tcPr>
            <w:tcW w:w="7548" w:type="dxa"/>
            <w:vAlign w:val="center"/>
          </w:tcPr>
          <w:p w:rsidR="003F1B77" w:rsidRPr="007A0031" w:rsidRDefault="003F1B77" w:rsidP="00D77F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The </w:t>
            </w:r>
            <w:r w:rsidRPr="006C3CDB">
              <w:rPr>
                <w:rFonts w:ascii="Garamond" w:eastAsia="Times New Roman" w:hAnsi="Garamond" w:cs="Times New Roman"/>
                <w:i/>
                <w:sz w:val="24"/>
                <w:szCs w:val="24"/>
                <w:lang w:eastAsia="en-GB"/>
              </w:rPr>
              <w:t>World Bank Country Survey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contains household-level data collected in 2013. It is available under the permission of the World Bank. It pr</w:t>
            </w:r>
            <w:r w:rsidR="00CF21C2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ovides detailed information on j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ob creation/emp</w:t>
            </w:r>
            <w:r w:rsidR="00CF21C2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loyment,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social</w:t>
            </w:r>
            <w:r w:rsidR="00CF21C2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protection,</w:t>
            </w:r>
            <w:r w:rsidRPr="00FC112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environmental </w:t>
            </w:r>
            <w:r w:rsidR="00CF21C2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sustainability, poverty reduction, agricultural development, financial markets, trade, education, gender, economic growth, amongst others.</w:t>
            </w:r>
          </w:p>
        </w:tc>
      </w:tr>
    </w:tbl>
    <w:p w:rsidR="00C83ADA" w:rsidRPr="00FC1121" w:rsidRDefault="00C83ADA" w:rsidP="009761F7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59589F" w:rsidRPr="00FC1121" w:rsidRDefault="0059589F" w:rsidP="009761F7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en-GB"/>
        </w:rPr>
      </w:pPr>
    </w:p>
    <w:p w:rsidR="00FC1121" w:rsidRPr="00FC1121" w:rsidRDefault="00FC1121" w:rsidP="009761F7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en-GB"/>
        </w:rPr>
      </w:pPr>
    </w:p>
    <w:p w:rsidR="00CD3BEE" w:rsidRPr="00FC1121" w:rsidRDefault="00CD3BEE" w:rsidP="009761F7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sectPr w:rsidR="00CD3BEE" w:rsidRPr="00FC1121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D4" w:rsidRDefault="003545D4" w:rsidP="00D00085">
      <w:pPr>
        <w:spacing w:after="0" w:line="240" w:lineRule="auto"/>
      </w:pPr>
      <w:r>
        <w:separator/>
      </w:r>
    </w:p>
  </w:endnote>
  <w:endnote w:type="continuationSeparator" w:id="0">
    <w:p w:rsidR="003545D4" w:rsidRDefault="003545D4" w:rsidP="00D0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85" w:rsidRDefault="00D0008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8FAA2" wp14:editId="3FD3D04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00085" w:rsidRDefault="00D00085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C5525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D00085" w:rsidRDefault="00D00085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C5525B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4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en-GB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BEADD55" wp14:editId="3C39EB0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 w:rsidR="00601BAD">
      <w:rPr>
        <w:color w:val="000000" w:themeColor="text1"/>
        <w:sz w:val="24"/>
        <w:szCs w:val="24"/>
      </w:rPr>
      <w:t>Survey overviews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D4" w:rsidRDefault="003545D4" w:rsidP="00D00085">
      <w:pPr>
        <w:spacing w:after="0" w:line="240" w:lineRule="auto"/>
      </w:pPr>
      <w:r>
        <w:separator/>
      </w:r>
    </w:p>
  </w:footnote>
  <w:footnote w:type="continuationSeparator" w:id="0">
    <w:p w:rsidR="003545D4" w:rsidRDefault="003545D4" w:rsidP="00D0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77"/>
      <w:gridCol w:w="6479"/>
    </w:tblGrid>
    <w:tr w:rsidR="00601BAD">
      <w:sdt>
        <w:sdtPr>
          <w:rPr>
            <w:color w:val="FFFFFF" w:themeColor="background1"/>
          </w:rPr>
          <w:alias w:val="Date"/>
          <w:id w:val="77625188"/>
          <w:placeholder>
            <w:docPart w:val="C095F0D64ABC431085C1DEBFD7441D1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9-3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601BAD" w:rsidRDefault="00601BAD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September 30, 2014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601BAD" w:rsidRDefault="00601BAD" w:rsidP="00601BAD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F35C12DCEC5B4355AFA6CE61859C2ED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THE IGC RWANDA DATABANK LIBRARY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:rsidR="00601BAD" w:rsidRDefault="00601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D5"/>
    <w:rsid w:val="00016C27"/>
    <w:rsid w:val="000242AC"/>
    <w:rsid w:val="000264C9"/>
    <w:rsid w:val="00031A2D"/>
    <w:rsid w:val="0003572C"/>
    <w:rsid w:val="00042A3A"/>
    <w:rsid w:val="000777C1"/>
    <w:rsid w:val="000A4AA4"/>
    <w:rsid w:val="000B00C1"/>
    <w:rsid w:val="000B7E2D"/>
    <w:rsid w:val="00103CFD"/>
    <w:rsid w:val="00125139"/>
    <w:rsid w:val="00141BC7"/>
    <w:rsid w:val="001B48B0"/>
    <w:rsid w:val="001B7DBC"/>
    <w:rsid w:val="001C00B9"/>
    <w:rsid w:val="001E1C53"/>
    <w:rsid w:val="001F7AFA"/>
    <w:rsid w:val="00214A0A"/>
    <w:rsid w:val="00220010"/>
    <w:rsid w:val="00242331"/>
    <w:rsid w:val="002548B6"/>
    <w:rsid w:val="002A3F19"/>
    <w:rsid w:val="002C3508"/>
    <w:rsid w:val="002D2580"/>
    <w:rsid w:val="002D7869"/>
    <w:rsid w:val="002F13C1"/>
    <w:rsid w:val="00345B8E"/>
    <w:rsid w:val="003545D4"/>
    <w:rsid w:val="003A2F60"/>
    <w:rsid w:val="003A507D"/>
    <w:rsid w:val="003B2E73"/>
    <w:rsid w:val="003C02EE"/>
    <w:rsid w:val="003D600F"/>
    <w:rsid w:val="003F1B77"/>
    <w:rsid w:val="0041140E"/>
    <w:rsid w:val="00425D0A"/>
    <w:rsid w:val="00426E5B"/>
    <w:rsid w:val="00427374"/>
    <w:rsid w:val="00427845"/>
    <w:rsid w:val="00437279"/>
    <w:rsid w:val="0046209F"/>
    <w:rsid w:val="0049474B"/>
    <w:rsid w:val="00495ADE"/>
    <w:rsid w:val="004A6A25"/>
    <w:rsid w:val="004A6F3B"/>
    <w:rsid w:val="004D42D8"/>
    <w:rsid w:val="004E1388"/>
    <w:rsid w:val="004F76E3"/>
    <w:rsid w:val="00501A03"/>
    <w:rsid w:val="00502E6D"/>
    <w:rsid w:val="0052790B"/>
    <w:rsid w:val="00530AA9"/>
    <w:rsid w:val="00555FD5"/>
    <w:rsid w:val="005723D7"/>
    <w:rsid w:val="005806E5"/>
    <w:rsid w:val="00586BF6"/>
    <w:rsid w:val="00590B73"/>
    <w:rsid w:val="0059589F"/>
    <w:rsid w:val="005B5A16"/>
    <w:rsid w:val="005D7F2E"/>
    <w:rsid w:val="005E56E6"/>
    <w:rsid w:val="00601BAD"/>
    <w:rsid w:val="00615730"/>
    <w:rsid w:val="0065619B"/>
    <w:rsid w:val="0066278A"/>
    <w:rsid w:val="00681383"/>
    <w:rsid w:val="006C3CDB"/>
    <w:rsid w:val="006C5C31"/>
    <w:rsid w:val="00726A33"/>
    <w:rsid w:val="00733298"/>
    <w:rsid w:val="00767A5A"/>
    <w:rsid w:val="0077623A"/>
    <w:rsid w:val="00794628"/>
    <w:rsid w:val="007A0031"/>
    <w:rsid w:val="007A4767"/>
    <w:rsid w:val="007C72F0"/>
    <w:rsid w:val="007D18E7"/>
    <w:rsid w:val="007F6907"/>
    <w:rsid w:val="00800E1B"/>
    <w:rsid w:val="008011A6"/>
    <w:rsid w:val="0081278D"/>
    <w:rsid w:val="008269C3"/>
    <w:rsid w:val="00835087"/>
    <w:rsid w:val="008350A3"/>
    <w:rsid w:val="00837C92"/>
    <w:rsid w:val="00842CD2"/>
    <w:rsid w:val="00847FA8"/>
    <w:rsid w:val="0085025A"/>
    <w:rsid w:val="008819E1"/>
    <w:rsid w:val="00886C7E"/>
    <w:rsid w:val="0089206A"/>
    <w:rsid w:val="008D6134"/>
    <w:rsid w:val="008F0FB9"/>
    <w:rsid w:val="008F1CFE"/>
    <w:rsid w:val="00917C3B"/>
    <w:rsid w:val="0093615C"/>
    <w:rsid w:val="00944F1E"/>
    <w:rsid w:val="00956C5B"/>
    <w:rsid w:val="009635FD"/>
    <w:rsid w:val="009761F7"/>
    <w:rsid w:val="009A204C"/>
    <w:rsid w:val="009A2395"/>
    <w:rsid w:val="009E230E"/>
    <w:rsid w:val="009F6204"/>
    <w:rsid w:val="009F7BD9"/>
    <w:rsid w:val="00A0663A"/>
    <w:rsid w:val="00A216BF"/>
    <w:rsid w:val="00A57213"/>
    <w:rsid w:val="00A5776A"/>
    <w:rsid w:val="00AB40DD"/>
    <w:rsid w:val="00AC0FB1"/>
    <w:rsid w:val="00AD06D9"/>
    <w:rsid w:val="00AD0DD1"/>
    <w:rsid w:val="00AD42E6"/>
    <w:rsid w:val="00AF1BAD"/>
    <w:rsid w:val="00B12071"/>
    <w:rsid w:val="00B21282"/>
    <w:rsid w:val="00B22C86"/>
    <w:rsid w:val="00B45988"/>
    <w:rsid w:val="00B6674A"/>
    <w:rsid w:val="00B75D4E"/>
    <w:rsid w:val="00B81488"/>
    <w:rsid w:val="00B910A7"/>
    <w:rsid w:val="00BA6EBD"/>
    <w:rsid w:val="00BC7EFC"/>
    <w:rsid w:val="00C0482B"/>
    <w:rsid w:val="00C3528A"/>
    <w:rsid w:val="00C36F56"/>
    <w:rsid w:val="00C47987"/>
    <w:rsid w:val="00C5525B"/>
    <w:rsid w:val="00C83ADA"/>
    <w:rsid w:val="00C94E04"/>
    <w:rsid w:val="00C96191"/>
    <w:rsid w:val="00CA0A23"/>
    <w:rsid w:val="00CD3BEE"/>
    <w:rsid w:val="00CE0D7A"/>
    <w:rsid w:val="00CF21C2"/>
    <w:rsid w:val="00CF6F67"/>
    <w:rsid w:val="00D00085"/>
    <w:rsid w:val="00D202E0"/>
    <w:rsid w:val="00D30A9D"/>
    <w:rsid w:val="00D4418C"/>
    <w:rsid w:val="00D46410"/>
    <w:rsid w:val="00D50492"/>
    <w:rsid w:val="00D62E97"/>
    <w:rsid w:val="00D77FB5"/>
    <w:rsid w:val="00D8547F"/>
    <w:rsid w:val="00D864C4"/>
    <w:rsid w:val="00D9421E"/>
    <w:rsid w:val="00DA0E68"/>
    <w:rsid w:val="00DA183D"/>
    <w:rsid w:val="00DB01CE"/>
    <w:rsid w:val="00DF5B59"/>
    <w:rsid w:val="00E279B5"/>
    <w:rsid w:val="00E41C42"/>
    <w:rsid w:val="00E52A00"/>
    <w:rsid w:val="00E77514"/>
    <w:rsid w:val="00E8102E"/>
    <w:rsid w:val="00E947B1"/>
    <w:rsid w:val="00EB284E"/>
    <w:rsid w:val="00ED4A35"/>
    <w:rsid w:val="00F14B8E"/>
    <w:rsid w:val="00F44082"/>
    <w:rsid w:val="00F615C9"/>
    <w:rsid w:val="00F9528C"/>
    <w:rsid w:val="00FB5710"/>
    <w:rsid w:val="00FC1121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85"/>
  </w:style>
  <w:style w:type="paragraph" w:styleId="Footer">
    <w:name w:val="footer"/>
    <w:basedOn w:val="Normal"/>
    <w:link w:val="FooterChar"/>
    <w:uiPriority w:val="99"/>
    <w:unhideWhenUsed/>
    <w:rsid w:val="00D0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85"/>
  </w:style>
  <w:style w:type="paragraph" w:styleId="BalloonText">
    <w:name w:val="Balloon Text"/>
    <w:basedOn w:val="Normal"/>
    <w:link w:val="BalloonTextChar"/>
    <w:uiPriority w:val="99"/>
    <w:semiHidden/>
    <w:unhideWhenUsed/>
    <w:rsid w:val="00D0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8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00085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60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011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BF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7F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3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85"/>
  </w:style>
  <w:style w:type="paragraph" w:styleId="Footer">
    <w:name w:val="footer"/>
    <w:basedOn w:val="Normal"/>
    <w:link w:val="FooterChar"/>
    <w:uiPriority w:val="99"/>
    <w:unhideWhenUsed/>
    <w:rsid w:val="00D0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85"/>
  </w:style>
  <w:style w:type="paragraph" w:styleId="BalloonText">
    <w:name w:val="Balloon Text"/>
    <w:basedOn w:val="Normal"/>
    <w:link w:val="BalloonTextChar"/>
    <w:uiPriority w:val="99"/>
    <w:semiHidden/>
    <w:unhideWhenUsed/>
    <w:rsid w:val="00D0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8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00085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60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011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BF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7F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3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rodata.statistics.gov.rw/index.php/catalog" TargetMode="External"/><Relationship Id="rId13" Type="http://schemas.openxmlformats.org/officeDocument/2006/relationships/hyperlink" Target="http://microdata.statistics.gov.rw/index.php/catalo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icrodata.statistics.gov.rw/index.php/auth/login/?destination=catalog/14/get_microdat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ineac.gov.rw/index.php?id=152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crodata.statistics.gov.rw/index.php/catal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eac.gov.rw/index.php?id=152" TargetMode="External"/><Relationship Id="rId10" Type="http://schemas.openxmlformats.org/officeDocument/2006/relationships/hyperlink" Target="http://microdata.statistics.gov.rw/index.php/catalo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crodata.statistics.gov.rw/index.php/catalog" TargetMode="External"/><Relationship Id="rId14" Type="http://schemas.openxmlformats.org/officeDocument/2006/relationships/hyperlink" Target="http://www.mineac.gov.rw/index.php?id=15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95F0D64ABC431085C1DEBFD7441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FE51-5531-4F46-A987-72FD8459A094}"/>
      </w:docPartPr>
      <w:docPartBody>
        <w:p w:rsidR="0040761B" w:rsidRDefault="00336B85" w:rsidP="00336B85">
          <w:pPr>
            <w:pStyle w:val="C095F0D64ABC431085C1DEBFD7441D18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F35C12DCEC5B4355AFA6CE61859C2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EDA06-700C-4A53-9FB5-309E66A4DE45}"/>
      </w:docPartPr>
      <w:docPartBody>
        <w:p w:rsidR="0040761B" w:rsidRDefault="00336B85" w:rsidP="00336B85">
          <w:pPr>
            <w:pStyle w:val="F35C12DCEC5B4355AFA6CE61859C2EDA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85"/>
    <w:rsid w:val="00141A84"/>
    <w:rsid w:val="001A4CED"/>
    <w:rsid w:val="002B633C"/>
    <w:rsid w:val="00336B85"/>
    <w:rsid w:val="0040761B"/>
    <w:rsid w:val="006D03F8"/>
    <w:rsid w:val="008F4529"/>
    <w:rsid w:val="009F2694"/>
    <w:rsid w:val="00F4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7D9FBB9D0D4E138B434A348CF14DAA">
    <w:name w:val="A07D9FBB9D0D4E138B434A348CF14DAA"/>
    <w:rsid w:val="00336B85"/>
  </w:style>
  <w:style w:type="paragraph" w:customStyle="1" w:styleId="C095F0D64ABC431085C1DEBFD7441D18">
    <w:name w:val="C095F0D64ABC431085C1DEBFD7441D18"/>
    <w:rsid w:val="00336B85"/>
  </w:style>
  <w:style w:type="paragraph" w:customStyle="1" w:styleId="F35C12DCEC5B4355AFA6CE61859C2EDA">
    <w:name w:val="F35C12DCEC5B4355AFA6CE61859C2EDA"/>
    <w:rsid w:val="00336B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7D9FBB9D0D4E138B434A348CF14DAA">
    <w:name w:val="A07D9FBB9D0D4E138B434A348CF14DAA"/>
    <w:rsid w:val="00336B85"/>
  </w:style>
  <w:style w:type="paragraph" w:customStyle="1" w:styleId="C095F0D64ABC431085C1DEBFD7441D18">
    <w:name w:val="C095F0D64ABC431085C1DEBFD7441D18"/>
    <w:rsid w:val="00336B85"/>
  </w:style>
  <w:style w:type="paragraph" w:customStyle="1" w:styleId="F35C12DCEC5B4355AFA6CE61859C2EDA">
    <w:name w:val="F35C12DCEC5B4355AFA6CE61859C2EDA"/>
    <w:rsid w:val="0033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2014-09-30T00:00:00</PublishDate>
  <Abstract/>
  <CompanyAddress>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D16D877D.dotm</Template>
  <TotalTime>0</TotalTime>
  <Pages>4</Pages>
  <Words>1407</Words>
  <Characters>8020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IGC RWANDA DATABANK LIBRARY</vt:lpstr>
    </vt:vector>
  </TitlesOfParts>
  <Company>LSE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IGC RWANDA DATABANK LIBRARY</dc:title>
  <dc:creator>MURRAYSB</dc:creator>
  <cp:lastModifiedBy>Administrator</cp:lastModifiedBy>
  <cp:revision>2</cp:revision>
  <dcterms:created xsi:type="dcterms:W3CDTF">2014-10-08T18:23:00Z</dcterms:created>
  <dcterms:modified xsi:type="dcterms:W3CDTF">2014-10-08T18:23:00Z</dcterms:modified>
</cp:coreProperties>
</file>