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09" w:rsidRPr="003B320E" w:rsidRDefault="000B2F70" w:rsidP="00001309">
      <w:pPr>
        <w:rPr>
          <w:b/>
          <w:u w:val="single"/>
        </w:rPr>
      </w:pPr>
      <w:r>
        <w:rPr>
          <w:b/>
          <w:u w:val="single"/>
        </w:rPr>
        <w:t>Research and day 1 summary</w:t>
      </w:r>
    </w:p>
    <w:p w:rsidR="00001309" w:rsidRDefault="00001309" w:rsidP="00AC6BFD">
      <w:r>
        <w:t xml:space="preserve">This workshop presents a unique opportunity to concretise the experiences and lessons of mobile-money expansion. </w:t>
      </w:r>
      <w:r w:rsidR="003B320E">
        <w:t>I</w:t>
      </w:r>
      <w:r>
        <w:t>nstead of re-inv</w:t>
      </w:r>
      <w:r w:rsidR="00AC6BFD">
        <w:t xml:space="preserve">enting the wheel, </w:t>
      </w:r>
      <w:r w:rsidR="003B320E">
        <w:t xml:space="preserve">we </w:t>
      </w:r>
      <w:r>
        <w:t xml:space="preserve">can </w:t>
      </w:r>
      <w:r w:rsidR="00AC6BFD">
        <w:t xml:space="preserve">instead </w:t>
      </w:r>
      <w:r>
        <w:t xml:space="preserve">learn from the pitfalls and challenges faced and overcome </w:t>
      </w:r>
      <w:r w:rsidR="00AC6BFD">
        <w:t xml:space="preserve">in </w:t>
      </w:r>
      <w:r>
        <w:t xml:space="preserve">East Africa. Mobile Money has the potential to revolutionise traditional retail banking throughout much of West Africa.  </w:t>
      </w:r>
      <w:r w:rsidR="00AC6BFD">
        <w:t>In day one we outlined the following:</w:t>
      </w:r>
    </w:p>
    <w:p w:rsidR="00001309" w:rsidRDefault="00AC6BFD" w:rsidP="00001309">
      <w:pPr>
        <w:pStyle w:val="ListParagraph"/>
        <w:numPr>
          <w:ilvl w:val="0"/>
          <w:numId w:val="3"/>
        </w:numPr>
      </w:pPr>
      <w:r>
        <w:t xml:space="preserve">Mobile Money is a clear </w:t>
      </w:r>
      <w:r w:rsidRPr="00AC6BFD">
        <w:rPr>
          <w:b/>
        </w:rPr>
        <w:t>‘game-changer’</w:t>
      </w:r>
      <w:r>
        <w:rPr>
          <w:b/>
        </w:rPr>
        <w:t xml:space="preserve"> </w:t>
      </w:r>
      <w:r w:rsidRPr="00AC6BFD">
        <w:t>radicalising both the banking and telecoms sectors</w:t>
      </w:r>
    </w:p>
    <w:p w:rsidR="003B320E" w:rsidRDefault="003B320E" w:rsidP="00001309">
      <w:pPr>
        <w:pStyle w:val="ListParagraph"/>
        <w:numPr>
          <w:ilvl w:val="1"/>
          <w:numId w:val="3"/>
        </w:numPr>
      </w:pPr>
      <w:r>
        <w:t xml:space="preserve">Expanding </w:t>
      </w:r>
      <w:r w:rsidR="00001309">
        <w:t xml:space="preserve">financial </w:t>
      </w:r>
      <w:r w:rsidR="00AC6BFD">
        <w:t>inclusion through mobile platform reduces</w:t>
      </w:r>
      <w:r w:rsidR="00001309">
        <w:t xml:space="preserve"> the need for high-cost,</w:t>
      </w:r>
      <w:r>
        <w:t xml:space="preserve"> brick and mortar bank branches. </w:t>
      </w:r>
    </w:p>
    <w:p w:rsidR="00001309" w:rsidRDefault="003B320E" w:rsidP="00001309">
      <w:pPr>
        <w:pStyle w:val="ListParagraph"/>
        <w:numPr>
          <w:ilvl w:val="1"/>
          <w:numId w:val="3"/>
        </w:numPr>
      </w:pPr>
      <w:r>
        <w:t xml:space="preserve">Wider financial inclusion for previously unbanked groups has the potential to greatly </w:t>
      </w:r>
      <w:r w:rsidRPr="00826EA0">
        <w:rPr>
          <w:b/>
        </w:rPr>
        <w:t>reduce poverty</w:t>
      </w:r>
      <w:r>
        <w:t xml:space="preserve">, by enabling households to be more </w:t>
      </w:r>
      <w:r w:rsidRPr="00826EA0">
        <w:rPr>
          <w:b/>
        </w:rPr>
        <w:t>resilient to shocks,</w:t>
      </w:r>
      <w:r>
        <w:t xml:space="preserve"> and enabling households to change occupations. Transfers can be used for </w:t>
      </w:r>
      <w:r w:rsidRPr="00826EA0">
        <w:rPr>
          <w:b/>
        </w:rPr>
        <w:t>insurance</w:t>
      </w:r>
      <w:r>
        <w:t xml:space="preserve"> and </w:t>
      </w:r>
      <w:r w:rsidRPr="00826EA0">
        <w:rPr>
          <w:b/>
        </w:rPr>
        <w:t>smoothing risks</w:t>
      </w:r>
      <w:r>
        <w:t xml:space="preserve"> from shocks</w:t>
      </w:r>
    </w:p>
    <w:p w:rsidR="003B320E" w:rsidRDefault="00AC6BFD" w:rsidP="00826EA0">
      <w:pPr>
        <w:pStyle w:val="ListParagraph"/>
        <w:numPr>
          <w:ilvl w:val="1"/>
          <w:numId w:val="3"/>
        </w:numPr>
      </w:pPr>
      <w:r>
        <w:t>A</w:t>
      </w:r>
      <w:r w:rsidR="00001309">
        <w:t xml:space="preserve">s noted in the Kenyan experience, mobile-money </w:t>
      </w:r>
      <w:r>
        <w:t xml:space="preserve">also </w:t>
      </w:r>
      <w:r w:rsidR="00001309">
        <w:t xml:space="preserve">dramatically lowered transaction costs </w:t>
      </w:r>
      <w:r>
        <w:t xml:space="preserve">for </w:t>
      </w:r>
      <w:r w:rsidR="00001309">
        <w:t xml:space="preserve">users themselves. </w:t>
      </w:r>
    </w:p>
    <w:p w:rsidR="003B320E" w:rsidRDefault="003B320E" w:rsidP="003B320E">
      <w:pPr>
        <w:pStyle w:val="ListParagraph"/>
        <w:numPr>
          <w:ilvl w:val="1"/>
          <w:numId w:val="3"/>
        </w:numPr>
      </w:pPr>
      <w:r>
        <w:t>Continued</w:t>
      </w:r>
      <w:r w:rsidR="00685440">
        <w:t xml:space="preserve"> </w:t>
      </w:r>
      <w:r w:rsidR="00685440" w:rsidRPr="00826EA0">
        <w:rPr>
          <w:b/>
        </w:rPr>
        <w:t>innovation</w:t>
      </w:r>
      <w:r w:rsidR="00685440">
        <w:t xml:space="preserve"> </w:t>
      </w:r>
      <w:r>
        <w:t xml:space="preserve">holds greater promise for expanding services to low-income households. </w:t>
      </w:r>
      <w:r w:rsidR="00685440">
        <w:t xml:space="preserve">Examples from </w:t>
      </w:r>
      <w:r>
        <w:t>K</w:t>
      </w:r>
      <w:r w:rsidR="00685440">
        <w:t>enya include</w:t>
      </w:r>
      <w:r>
        <w:t>:</w:t>
      </w:r>
      <w:r w:rsidR="00685440">
        <w:t xml:space="preserve"> </w:t>
      </w:r>
      <w:r w:rsidR="00685440" w:rsidRPr="00826EA0">
        <w:rPr>
          <w:b/>
        </w:rPr>
        <w:t>savings and credit</w:t>
      </w:r>
      <w:r w:rsidR="00685440">
        <w:t xml:space="preserve"> </w:t>
      </w:r>
      <w:r>
        <w:t xml:space="preserve">provided </w:t>
      </w:r>
      <w:r w:rsidR="00685440">
        <w:t xml:space="preserve">through M-SHWARI, </w:t>
      </w:r>
      <w:r>
        <w:t xml:space="preserve">and a </w:t>
      </w:r>
      <w:r w:rsidRPr="00826EA0">
        <w:rPr>
          <w:b/>
        </w:rPr>
        <w:t xml:space="preserve">new </w:t>
      </w:r>
      <w:r w:rsidR="00685440" w:rsidRPr="00826EA0">
        <w:rPr>
          <w:b/>
        </w:rPr>
        <w:t>mobile-tradable government bond</w:t>
      </w:r>
      <w:r w:rsidR="00685440">
        <w:t xml:space="preserve"> expected to launch later this month, called M-</w:t>
      </w:r>
      <w:proofErr w:type="spellStart"/>
      <w:r w:rsidR="00685440">
        <w:t>Akiba</w:t>
      </w:r>
      <w:proofErr w:type="spellEnd"/>
    </w:p>
    <w:p w:rsidR="00685440" w:rsidRDefault="003B320E" w:rsidP="003B320E">
      <w:pPr>
        <w:pStyle w:val="ListParagraph"/>
        <w:numPr>
          <w:ilvl w:val="1"/>
          <w:numId w:val="3"/>
        </w:numPr>
      </w:pPr>
      <w:r>
        <w:t xml:space="preserve">In addition to its </w:t>
      </w:r>
      <w:r w:rsidRPr="00826EA0">
        <w:rPr>
          <w:b/>
        </w:rPr>
        <w:t>impact on growth and inequality</w:t>
      </w:r>
      <w:r>
        <w:t xml:space="preserve"> within each countries, there is a m</w:t>
      </w:r>
      <w:r w:rsidR="00685440">
        <w:t xml:space="preserve">assive potential </w:t>
      </w:r>
      <w:r>
        <w:t xml:space="preserve">of </w:t>
      </w:r>
      <w:r w:rsidR="00685440" w:rsidRPr="00826EA0">
        <w:rPr>
          <w:b/>
        </w:rPr>
        <w:t>cross-border economic linkages</w:t>
      </w:r>
      <w:r>
        <w:t xml:space="preserve"> bei</w:t>
      </w:r>
      <w:r w:rsidR="00826EA0">
        <w:t>ng strengthened throughout West A</w:t>
      </w:r>
      <w:r>
        <w:t>frica.</w:t>
      </w:r>
    </w:p>
    <w:p w:rsidR="00AC6BFD" w:rsidRDefault="003B320E" w:rsidP="00AC6BFD">
      <w:pPr>
        <w:pStyle w:val="ListParagraph"/>
        <w:numPr>
          <w:ilvl w:val="0"/>
          <w:numId w:val="3"/>
        </w:numPr>
      </w:pPr>
      <w:r>
        <w:t xml:space="preserve">The barriers to reaping these gains however, still remain. The big </w:t>
      </w:r>
      <w:r w:rsidR="00AC6BFD">
        <w:t>challenge for mobile money is develop</w:t>
      </w:r>
      <w:r>
        <w:t>ing</w:t>
      </w:r>
      <w:r w:rsidR="00AC6BFD">
        <w:t xml:space="preserve"> a flexible and </w:t>
      </w:r>
      <w:r w:rsidR="00AC6BFD" w:rsidRPr="00AC6BFD">
        <w:rPr>
          <w:b/>
        </w:rPr>
        <w:t>‘enabling’ regulatory framework</w:t>
      </w:r>
      <w:r w:rsidR="00AC6BFD">
        <w:t xml:space="preserve">. </w:t>
      </w:r>
    </w:p>
    <w:p w:rsidR="00AC6BFD" w:rsidRPr="00826EA0" w:rsidRDefault="00685440" w:rsidP="00826EA0">
      <w:pPr>
        <w:pStyle w:val="ListParagraph"/>
        <w:numPr>
          <w:ilvl w:val="1"/>
          <w:numId w:val="3"/>
        </w:numPr>
        <w:rPr>
          <w:b/>
        </w:rPr>
      </w:pPr>
      <w:r>
        <w:t xml:space="preserve">Regulation needs to address the needs </w:t>
      </w:r>
      <w:r w:rsidRPr="00826EA0">
        <w:rPr>
          <w:b/>
        </w:rPr>
        <w:t xml:space="preserve">and interests of banking institutions as well as telecommunications companies. </w:t>
      </w:r>
    </w:p>
    <w:p w:rsidR="003B320E" w:rsidRDefault="003B320E" w:rsidP="003B320E">
      <w:pPr>
        <w:pStyle w:val="ListParagraph"/>
        <w:numPr>
          <w:ilvl w:val="1"/>
          <w:numId w:val="3"/>
        </w:numPr>
      </w:pPr>
      <w:r>
        <w:t xml:space="preserve">Overly </w:t>
      </w:r>
      <w:r w:rsidRPr="00826EA0">
        <w:rPr>
          <w:b/>
        </w:rPr>
        <w:t>restrictive regulations</w:t>
      </w:r>
      <w:r>
        <w:t xml:space="preserve"> or in areas where mobile expansion is largely led by the banking sector, mobile penetration is often stifled</w:t>
      </w:r>
    </w:p>
    <w:p w:rsidR="003B320E" w:rsidRDefault="003B320E" w:rsidP="003B320E">
      <w:pPr>
        <w:pStyle w:val="ListParagraph"/>
        <w:numPr>
          <w:ilvl w:val="1"/>
          <w:numId w:val="3"/>
        </w:numPr>
      </w:pPr>
      <w:r>
        <w:t xml:space="preserve">Regulation must sufficiently protect for customers, particularly for </w:t>
      </w:r>
      <w:r w:rsidRPr="00826EA0">
        <w:rPr>
          <w:b/>
        </w:rPr>
        <w:t>financially illiterate or partially illiterate adults</w:t>
      </w:r>
      <w:r>
        <w:t xml:space="preserve">. At the same time, however, regulations must be flexible enough to allow for innovation and adaptation by Mobile Network Operators. </w:t>
      </w:r>
    </w:p>
    <w:p w:rsidR="00220CE1" w:rsidRDefault="003B320E" w:rsidP="00826EA0">
      <w:pPr>
        <w:pStyle w:val="ListParagraph"/>
        <w:numPr>
          <w:ilvl w:val="1"/>
          <w:numId w:val="3"/>
        </w:numPr>
      </w:pPr>
      <w:r>
        <w:t xml:space="preserve">Regulation must </w:t>
      </w:r>
      <w:r w:rsidRPr="00826EA0">
        <w:rPr>
          <w:b/>
        </w:rPr>
        <w:t>address licensing and compliance requirements</w:t>
      </w:r>
      <w:r>
        <w:t xml:space="preserve"> for agents as well as MNOs. These should govern </w:t>
      </w:r>
      <w:r w:rsidR="00220CE1">
        <w:t>the following:</w:t>
      </w:r>
    </w:p>
    <w:p w:rsidR="00220CE1" w:rsidRDefault="00220CE1" w:rsidP="00220CE1">
      <w:pPr>
        <w:pStyle w:val="ListParagraph"/>
        <w:numPr>
          <w:ilvl w:val="2"/>
          <w:numId w:val="3"/>
        </w:numPr>
      </w:pPr>
      <w:r>
        <w:t>Customer acquisition and registration</w:t>
      </w:r>
    </w:p>
    <w:p w:rsidR="00220CE1" w:rsidRDefault="00220CE1" w:rsidP="00220CE1">
      <w:pPr>
        <w:pStyle w:val="ListParagraph"/>
        <w:numPr>
          <w:ilvl w:val="2"/>
          <w:numId w:val="3"/>
        </w:numPr>
      </w:pPr>
      <w:r>
        <w:t>Agent acquisition and scale-up</w:t>
      </w:r>
    </w:p>
    <w:p w:rsidR="003B320E" w:rsidRDefault="00220CE1" w:rsidP="00220CE1">
      <w:pPr>
        <w:pStyle w:val="ListParagraph"/>
        <w:numPr>
          <w:ilvl w:val="2"/>
          <w:numId w:val="3"/>
        </w:numPr>
      </w:pPr>
      <w:r>
        <w:t>Transaction reporting requirements</w:t>
      </w:r>
    </w:p>
    <w:p w:rsidR="00220CE1" w:rsidRDefault="00220CE1" w:rsidP="00220CE1">
      <w:pPr>
        <w:pStyle w:val="ListParagraph"/>
        <w:numPr>
          <w:ilvl w:val="2"/>
          <w:numId w:val="3"/>
        </w:numPr>
      </w:pPr>
      <w:r>
        <w:t>Theft and fraud prevention</w:t>
      </w:r>
    </w:p>
    <w:p w:rsidR="00685440" w:rsidRDefault="00685440" w:rsidP="00AC6BFD">
      <w:pPr>
        <w:pStyle w:val="ListParagraph"/>
        <w:numPr>
          <w:ilvl w:val="1"/>
          <w:numId w:val="3"/>
        </w:numPr>
      </w:pPr>
      <w:r>
        <w:t>At a more granular level even more basic barriers to mobile money penetration exist as persistent challenges. These include:</w:t>
      </w:r>
    </w:p>
    <w:p w:rsidR="00685440" w:rsidRDefault="00685440" w:rsidP="00685440">
      <w:pPr>
        <w:pStyle w:val="ListParagraph"/>
        <w:numPr>
          <w:ilvl w:val="2"/>
          <w:numId w:val="3"/>
        </w:numPr>
      </w:pPr>
      <w:r>
        <w:t>Access to infrastructure for electricity and mobile network coverage</w:t>
      </w:r>
    </w:p>
    <w:p w:rsidR="00685440" w:rsidRDefault="00826EA0" w:rsidP="00685440">
      <w:pPr>
        <w:pStyle w:val="ListParagraph"/>
        <w:numPr>
          <w:ilvl w:val="2"/>
          <w:numId w:val="3"/>
        </w:numPr>
      </w:pPr>
      <w:r>
        <w:t xml:space="preserve">Non-standardised </w:t>
      </w:r>
      <w:r w:rsidR="00685440" w:rsidRPr="00826EA0">
        <w:rPr>
          <w:b/>
        </w:rPr>
        <w:t>documentation</w:t>
      </w:r>
      <w:r w:rsidR="00685440">
        <w:t xml:space="preserve"> or ID cards </w:t>
      </w:r>
    </w:p>
    <w:p w:rsidR="00685440" w:rsidRDefault="00685440" w:rsidP="00685440">
      <w:pPr>
        <w:pStyle w:val="ListParagraph"/>
        <w:numPr>
          <w:ilvl w:val="2"/>
          <w:numId w:val="3"/>
        </w:numPr>
      </w:pPr>
      <w:r w:rsidRPr="00826EA0">
        <w:rPr>
          <w:b/>
        </w:rPr>
        <w:t>Low levels of trust</w:t>
      </w:r>
      <w:r>
        <w:t xml:space="preserve"> in banking institutions</w:t>
      </w:r>
    </w:p>
    <w:p w:rsidR="00685440" w:rsidRDefault="00685440" w:rsidP="00E06379">
      <w:pPr>
        <w:pStyle w:val="ListParagraph"/>
        <w:ind w:left="2160"/>
      </w:pPr>
    </w:p>
    <w:p w:rsidR="000B2F70" w:rsidRDefault="000B2F70" w:rsidP="00E06379">
      <w:pPr>
        <w:pStyle w:val="ListParagraph"/>
        <w:ind w:left="2160"/>
      </w:pPr>
    </w:p>
    <w:p w:rsidR="000B2F70" w:rsidRPr="000B2F70" w:rsidRDefault="000B2F70" w:rsidP="000B2F70">
      <w:pPr>
        <w:rPr>
          <w:i/>
        </w:rPr>
      </w:pPr>
      <w:bookmarkStart w:id="0" w:name="_GoBack"/>
      <w:r w:rsidRPr="000B2F70">
        <w:rPr>
          <w:i/>
        </w:rPr>
        <w:t xml:space="preserve">Session summary written by </w:t>
      </w:r>
      <w:proofErr w:type="spellStart"/>
      <w:r w:rsidRPr="000B2F70">
        <w:rPr>
          <w:i/>
        </w:rPr>
        <w:t>Upaasna</w:t>
      </w:r>
      <w:proofErr w:type="spellEnd"/>
      <w:r w:rsidRPr="000B2F70">
        <w:rPr>
          <w:i/>
        </w:rPr>
        <w:t xml:space="preserve"> </w:t>
      </w:r>
      <w:proofErr w:type="spellStart"/>
      <w:r w:rsidRPr="000B2F70">
        <w:rPr>
          <w:i/>
        </w:rPr>
        <w:t>Kaul</w:t>
      </w:r>
      <w:proofErr w:type="spellEnd"/>
      <w:r w:rsidRPr="000B2F70">
        <w:rPr>
          <w:i/>
        </w:rPr>
        <w:t>, Managing Editor &amp; Hub Economist</w:t>
      </w:r>
      <w:bookmarkEnd w:id="0"/>
    </w:p>
    <w:sectPr w:rsidR="000B2F70" w:rsidRPr="000B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157C"/>
    <w:multiLevelType w:val="hybridMultilevel"/>
    <w:tmpl w:val="17989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4821"/>
    <w:multiLevelType w:val="hybridMultilevel"/>
    <w:tmpl w:val="D6784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04EC"/>
    <w:multiLevelType w:val="hybridMultilevel"/>
    <w:tmpl w:val="A150F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09"/>
    <w:rsid w:val="00001309"/>
    <w:rsid w:val="000829D7"/>
    <w:rsid w:val="000B2F70"/>
    <w:rsid w:val="00220CE1"/>
    <w:rsid w:val="003B320E"/>
    <w:rsid w:val="00454A55"/>
    <w:rsid w:val="00474502"/>
    <w:rsid w:val="00685440"/>
    <w:rsid w:val="00826EA0"/>
    <w:rsid w:val="00A66C3C"/>
    <w:rsid w:val="00AC6BFD"/>
    <w:rsid w:val="00E0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54B70-5390-4CDF-8C96-471C7DF8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</dc:creator>
  <cp:keywords/>
  <dc:description/>
  <cp:lastModifiedBy>KAUL</cp:lastModifiedBy>
  <cp:revision>2</cp:revision>
  <dcterms:created xsi:type="dcterms:W3CDTF">2016-03-15T16:19:00Z</dcterms:created>
  <dcterms:modified xsi:type="dcterms:W3CDTF">2016-03-15T16:19:00Z</dcterms:modified>
</cp:coreProperties>
</file>