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71"/>
        <w:gridCol w:w="7892"/>
      </w:tblGrid>
      <w:tr w:rsidR="0022759A" w:rsidRPr="00164359" w14:paraId="391E4272" w14:textId="77777777" w:rsidTr="008A110D">
        <w:trPr>
          <w:trHeight w:val="31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0EB21F9" w14:textId="5EE4BA0E" w:rsidR="0022759A" w:rsidRPr="0022759A" w:rsidRDefault="0022759A" w:rsidP="008A110D">
            <w:pPr>
              <w:spacing w:after="0"/>
              <w:jc w:val="center"/>
              <w:rPr>
                <w:rFonts w:asciiTheme="majorHAnsi" w:hAnsiTheme="majorHAnsi"/>
                <w:i/>
                <w:color w:val="000000" w:themeColor="text1"/>
                <w:sz w:val="24"/>
              </w:rPr>
            </w:pPr>
            <w:r w:rsidRPr="0022759A">
              <w:rPr>
                <w:rFonts w:asciiTheme="majorHAnsi" w:eastAsia="Arial Unicode MS" w:hAnsiTheme="majorHAnsi" w:cs="Arial Unicode MS"/>
                <w:b/>
                <w:color w:val="000000" w:themeColor="text1"/>
                <w:sz w:val="24"/>
              </w:rPr>
              <w:t>Seeds of Change in the Garment Industry</w:t>
            </w:r>
          </w:p>
          <w:p w14:paraId="77832246" w14:textId="3B8E2AE3" w:rsidR="0022759A" w:rsidRDefault="0022759A" w:rsidP="008A110D">
            <w:pPr>
              <w:spacing w:after="0"/>
              <w:jc w:val="center"/>
              <w:rPr>
                <w:rFonts w:asciiTheme="majorHAnsi" w:eastAsia="Arial Unicode MS" w:hAnsiTheme="majorHAnsi" w:cs="Arial Unicode MS"/>
                <w:color w:val="000000" w:themeColor="text1"/>
                <w:sz w:val="22"/>
                <w:szCs w:val="22"/>
              </w:rPr>
            </w:pPr>
            <w:r w:rsidRPr="0022759A">
              <w:rPr>
                <w:rFonts w:asciiTheme="majorHAnsi" w:eastAsia="Arial Unicode MS" w:hAnsiTheme="majorHAnsi" w:cs="Arial Unicode MS"/>
                <w:color w:val="000000" w:themeColor="text1"/>
                <w:sz w:val="22"/>
                <w:szCs w:val="22"/>
              </w:rPr>
              <w:t>16 July 2017</w:t>
            </w:r>
          </w:p>
          <w:p w14:paraId="186E35AD" w14:textId="77777777" w:rsidR="0022759A" w:rsidRPr="0022759A" w:rsidRDefault="0022759A" w:rsidP="008A110D">
            <w:pPr>
              <w:spacing w:after="0"/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570DF40E" w14:textId="77777777" w:rsidR="0022759A" w:rsidRDefault="0022759A" w:rsidP="0022759A">
            <w:pPr>
              <w:spacing w:after="0"/>
              <w:jc w:val="center"/>
              <w:rPr>
                <w:rFonts w:asciiTheme="majorHAnsi" w:eastAsia="Arial Unicode MS" w:hAnsiTheme="majorHAnsi" w:cs="Arial Unicode MS"/>
                <w:color w:val="000000" w:themeColor="text1"/>
                <w:sz w:val="20"/>
                <w:szCs w:val="20"/>
              </w:rPr>
            </w:pPr>
            <w:proofErr w:type="spellStart"/>
            <w:r w:rsidRPr="0022759A">
              <w:rPr>
                <w:rFonts w:asciiTheme="majorHAnsi" w:eastAsia="Arial Unicode MS" w:hAnsiTheme="majorHAnsi" w:cs="Arial Unicode MS"/>
                <w:color w:val="000000" w:themeColor="text1"/>
                <w:sz w:val="20"/>
                <w:szCs w:val="20"/>
              </w:rPr>
              <w:t>Hemonto</w:t>
            </w:r>
            <w:proofErr w:type="spellEnd"/>
            <w:r w:rsidRPr="0022759A">
              <w:rPr>
                <w:rFonts w:asciiTheme="majorHAnsi" w:eastAsia="Arial Unicode MS" w:hAnsiTheme="majorHAnsi" w:cs="Arial Unicode MS"/>
                <w:color w:val="000000" w:themeColor="text1"/>
                <w:sz w:val="20"/>
                <w:szCs w:val="20"/>
              </w:rPr>
              <w:t xml:space="preserve"> Conference Hall, Six Seasons Hotel,  House 19, Road 96, </w:t>
            </w:r>
            <w:proofErr w:type="spellStart"/>
            <w:r w:rsidRPr="0022759A">
              <w:rPr>
                <w:rFonts w:asciiTheme="majorHAnsi" w:eastAsia="Arial Unicode MS" w:hAnsiTheme="majorHAnsi" w:cs="Arial Unicode MS"/>
                <w:color w:val="000000" w:themeColor="text1"/>
                <w:sz w:val="20"/>
                <w:szCs w:val="20"/>
              </w:rPr>
              <w:t>Gulshan</w:t>
            </w:r>
            <w:proofErr w:type="spellEnd"/>
            <w:r w:rsidRPr="0022759A">
              <w:rPr>
                <w:rFonts w:asciiTheme="majorHAnsi" w:eastAsia="Arial Unicode MS" w:hAnsiTheme="majorHAnsi" w:cs="Arial Unicode MS"/>
                <w:color w:val="000000" w:themeColor="text1"/>
                <w:sz w:val="20"/>
                <w:szCs w:val="20"/>
              </w:rPr>
              <w:t xml:space="preserve"> 2, Dhaka 1212, Bangladesh</w:t>
            </w:r>
          </w:p>
          <w:p w14:paraId="7117CCF2" w14:textId="7C4FB20A" w:rsidR="0022759A" w:rsidRPr="0022759A" w:rsidRDefault="0022759A" w:rsidP="0022759A">
            <w:pPr>
              <w:spacing w:after="0"/>
              <w:jc w:val="center"/>
              <w:rPr>
                <w:rFonts w:asciiTheme="majorHAnsi" w:eastAsia="Arial Unicode MS" w:hAnsiTheme="majorHAnsi" w:cs="Arial Unicode MS"/>
                <w:color w:val="000000" w:themeColor="text1"/>
                <w:sz w:val="20"/>
                <w:szCs w:val="20"/>
              </w:rPr>
            </w:pPr>
          </w:p>
        </w:tc>
      </w:tr>
      <w:tr w:rsidR="0022759A" w:rsidRPr="00164359" w14:paraId="23D0E5C9" w14:textId="77777777" w:rsidTr="008A110D">
        <w:trPr>
          <w:trHeight w:val="312"/>
        </w:trPr>
        <w:tc>
          <w:tcPr>
            <w:tcW w:w="548" w:type="pct"/>
            <w:tcBorders>
              <w:top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58E7E3DB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08:30</w:t>
            </w:r>
          </w:p>
        </w:tc>
        <w:tc>
          <w:tcPr>
            <w:tcW w:w="4452" w:type="pct"/>
            <w:tcBorders>
              <w:top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531D3D99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Registration</w:t>
            </w:r>
          </w:p>
        </w:tc>
      </w:tr>
      <w:tr w:rsidR="0022759A" w:rsidRPr="00164359" w14:paraId="29C5D0EB" w14:textId="77777777" w:rsidTr="008A110D">
        <w:trPr>
          <w:trHeight w:val="312"/>
        </w:trPr>
        <w:tc>
          <w:tcPr>
            <w:tcW w:w="548" w:type="pct"/>
            <w:shd w:val="clear" w:color="auto" w:fill="auto"/>
            <w:noWrap/>
            <w:hideMark/>
          </w:tcPr>
          <w:p w14:paraId="200C0346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4452" w:type="pct"/>
            <w:shd w:val="clear" w:color="auto" w:fill="auto"/>
            <w:noWrap/>
            <w:hideMark/>
          </w:tcPr>
          <w:p w14:paraId="07E65133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  <w:t>Opening remarks by the IGC</w:t>
            </w:r>
          </w:p>
        </w:tc>
      </w:tr>
      <w:tr w:rsidR="0022759A" w:rsidRPr="00164359" w14:paraId="212BACDD" w14:textId="77777777" w:rsidTr="008A110D">
        <w:trPr>
          <w:trHeight w:val="312"/>
        </w:trPr>
        <w:tc>
          <w:tcPr>
            <w:tcW w:w="548" w:type="pct"/>
            <w:shd w:val="clear" w:color="auto" w:fill="auto"/>
            <w:noWrap/>
          </w:tcPr>
          <w:p w14:paraId="24EC9479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9:10</w:t>
            </w:r>
          </w:p>
        </w:tc>
        <w:tc>
          <w:tcPr>
            <w:tcW w:w="4452" w:type="pct"/>
            <w:shd w:val="clear" w:color="auto" w:fill="auto"/>
            <w:noWrap/>
          </w:tcPr>
          <w:p w14:paraId="2308BC47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  <w:t>Remarks by the Special Guest: Mr. Ali Ahmed, Chief Executive Officer, Bangladesh Foreign Trade Institute (BFTI)</w:t>
            </w:r>
          </w:p>
        </w:tc>
      </w:tr>
      <w:tr w:rsidR="0022759A" w:rsidRPr="00164359" w14:paraId="6551A10D" w14:textId="77777777" w:rsidTr="008A110D">
        <w:trPr>
          <w:trHeight w:val="312"/>
        </w:trPr>
        <w:tc>
          <w:tcPr>
            <w:tcW w:w="5000" w:type="pct"/>
            <w:gridSpan w:val="2"/>
            <w:shd w:val="clear" w:color="auto" w:fill="auto"/>
            <w:noWrap/>
          </w:tcPr>
          <w:p w14:paraId="23934F30" w14:textId="77777777" w:rsidR="0022759A" w:rsidRPr="0022759A" w:rsidRDefault="0022759A" w:rsidP="008A110D">
            <w:pPr>
              <w:spacing w:after="120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lang w:eastAsia="en-GB"/>
              </w:rPr>
              <w:t>Session I</w:t>
            </w:r>
          </w:p>
        </w:tc>
      </w:tr>
      <w:tr w:rsidR="0022759A" w:rsidRPr="00164359" w14:paraId="4FB03BE8" w14:textId="77777777" w:rsidTr="008A110D">
        <w:trPr>
          <w:trHeight w:val="312"/>
        </w:trPr>
        <w:tc>
          <w:tcPr>
            <w:tcW w:w="548" w:type="pct"/>
            <w:shd w:val="clear" w:color="auto" w:fill="auto"/>
            <w:noWrap/>
            <w:hideMark/>
          </w:tcPr>
          <w:p w14:paraId="079C6DE8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09:20</w:t>
            </w:r>
          </w:p>
        </w:tc>
        <w:tc>
          <w:tcPr>
            <w:tcW w:w="4452" w:type="pct"/>
            <w:shd w:val="clear" w:color="auto" w:fill="auto"/>
            <w:noWrap/>
            <w:hideMark/>
          </w:tcPr>
          <w:p w14:paraId="17310C44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  <w:t xml:space="preserve">Impact of workers' mobile money remittances by Jonathan Morduch, New York University, USA </w:t>
            </w:r>
          </w:p>
        </w:tc>
      </w:tr>
      <w:tr w:rsidR="0022759A" w:rsidRPr="00164359" w14:paraId="68AE90F0" w14:textId="77777777" w:rsidTr="008A110D">
        <w:trPr>
          <w:trHeight w:val="312"/>
        </w:trPr>
        <w:tc>
          <w:tcPr>
            <w:tcW w:w="548" w:type="pct"/>
            <w:shd w:val="clear" w:color="auto" w:fill="auto"/>
            <w:noWrap/>
            <w:hideMark/>
          </w:tcPr>
          <w:p w14:paraId="36F71DC1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09:50</w:t>
            </w:r>
          </w:p>
        </w:tc>
        <w:tc>
          <w:tcPr>
            <w:tcW w:w="4452" w:type="pct"/>
            <w:shd w:val="clear" w:color="auto" w:fill="auto"/>
            <w:noWrap/>
            <w:hideMark/>
          </w:tcPr>
          <w:p w14:paraId="413D5339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  <w:t>Discussant: (speaker 1)</w:t>
            </w:r>
          </w:p>
        </w:tc>
      </w:tr>
      <w:tr w:rsidR="0022759A" w:rsidRPr="00164359" w14:paraId="4075E3EF" w14:textId="77777777" w:rsidTr="008A110D">
        <w:trPr>
          <w:trHeight w:val="336"/>
        </w:trPr>
        <w:tc>
          <w:tcPr>
            <w:tcW w:w="548" w:type="pct"/>
            <w:shd w:val="clear" w:color="auto" w:fill="auto"/>
            <w:noWrap/>
            <w:hideMark/>
          </w:tcPr>
          <w:p w14:paraId="0BFB4239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10:00</w:t>
            </w:r>
          </w:p>
        </w:tc>
        <w:tc>
          <w:tcPr>
            <w:tcW w:w="4452" w:type="pct"/>
            <w:shd w:val="clear" w:color="auto" w:fill="auto"/>
            <w:noWrap/>
            <w:hideMark/>
          </w:tcPr>
          <w:p w14:paraId="412841EC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  <w:t xml:space="preserve">Does On-The-Job Training Increase Employment for Rural Poor in the Manufacturing Sector: Experimental Evidence from Bangladesh? by </w:t>
            </w:r>
            <w:r w:rsidRPr="0022759A">
              <w:rPr>
                <w:rFonts w:asciiTheme="majorHAnsi" w:hAnsiTheme="majorHAnsi" w:cs="Tahoma"/>
                <w:color w:val="000000" w:themeColor="text1"/>
                <w:sz w:val="20"/>
                <w:szCs w:val="20"/>
              </w:rPr>
              <w:t>Abu Shonchoy, IDE-JETRO and New York University</w:t>
            </w:r>
            <w:r w:rsidRPr="0022759A"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  <w:t xml:space="preserve">, USA </w:t>
            </w:r>
          </w:p>
        </w:tc>
      </w:tr>
      <w:tr w:rsidR="0022759A" w:rsidRPr="00164359" w14:paraId="63D27409" w14:textId="77777777" w:rsidTr="008A110D">
        <w:trPr>
          <w:trHeight w:val="312"/>
        </w:trPr>
        <w:tc>
          <w:tcPr>
            <w:tcW w:w="548" w:type="pct"/>
            <w:shd w:val="clear" w:color="auto" w:fill="auto"/>
            <w:noWrap/>
            <w:hideMark/>
          </w:tcPr>
          <w:p w14:paraId="05B62291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10:30</w:t>
            </w:r>
          </w:p>
        </w:tc>
        <w:tc>
          <w:tcPr>
            <w:tcW w:w="4452" w:type="pct"/>
            <w:shd w:val="clear" w:color="auto" w:fill="auto"/>
            <w:noWrap/>
            <w:hideMark/>
          </w:tcPr>
          <w:p w14:paraId="3758C6E1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  <w:t>Discussant from the RMG Industry (speaker 2)</w:t>
            </w:r>
          </w:p>
        </w:tc>
      </w:tr>
      <w:tr w:rsidR="0022759A" w:rsidRPr="00164359" w14:paraId="58091A43" w14:textId="77777777" w:rsidTr="008A110D">
        <w:trPr>
          <w:trHeight w:val="312"/>
        </w:trPr>
        <w:tc>
          <w:tcPr>
            <w:tcW w:w="548" w:type="pct"/>
            <w:shd w:val="clear" w:color="auto" w:fill="auto"/>
            <w:noWrap/>
            <w:hideMark/>
          </w:tcPr>
          <w:p w14:paraId="1BBA765B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10:40</w:t>
            </w:r>
          </w:p>
        </w:tc>
        <w:tc>
          <w:tcPr>
            <w:tcW w:w="4452" w:type="pct"/>
            <w:shd w:val="clear" w:color="auto" w:fill="auto"/>
            <w:noWrap/>
            <w:hideMark/>
          </w:tcPr>
          <w:p w14:paraId="5B5B48EA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 w:themeColor="text1"/>
                <w:sz w:val="20"/>
                <w:szCs w:val="20"/>
                <w:lang w:eastAsia="en-GB"/>
              </w:rPr>
              <w:t>Open floor discussion and Q&amp;A</w:t>
            </w:r>
          </w:p>
        </w:tc>
      </w:tr>
      <w:tr w:rsidR="0022759A" w:rsidRPr="00164359" w14:paraId="207225EA" w14:textId="77777777" w:rsidTr="008A110D">
        <w:trPr>
          <w:trHeight w:val="312"/>
        </w:trPr>
        <w:tc>
          <w:tcPr>
            <w:tcW w:w="548" w:type="pct"/>
            <w:shd w:val="clear" w:color="auto" w:fill="B6DDE8" w:themeFill="accent5" w:themeFillTint="66"/>
            <w:noWrap/>
            <w:hideMark/>
          </w:tcPr>
          <w:p w14:paraId="704173B3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11:00</w:t>
            </w:r>
          </w:p>
        </w:tc>
        <w:tc>
          <w:tcPr>
            <w:tcW w:w="4452" w:type="pct"/>
            <w:shd w:val="clear" w:color="auto" w:fill="B6DDE8" w:themeFill="accent5" w:themeFillTint="66"/>
            <w:noWrap/>
            <w:hideMark/>
          </w:tcPr>
          <w:p w14:paraId="1A00816E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Tea break</w:t>
            </w:r>
          </w:p>
        </w:tc>
      </w:tr>
      <w:tr w:rsidR="0022759A" w:rsidRPr="00164359" w14:paraId="6FA3A3A2" w14:textId="77777777" w:rsidTr="008A110D">
        <w:trPr>
          <w:trHeight w:val="336"/>
        </w:trPr>
        <w:tc>
          <w:tcPr>
            <w:tcW w:w="5000" w:type="pct"/>
            <w:gridSpan w:val="2"/>
            <w:shd w:val="clear" w:color="auto" w:fill="auto"/>
            <w:noWrap/>
          </w:tcPr>
          <w:p w14:paraId="56254A63" w14:textId="77777777" w:rsidR="0022759A" w:rsidRPr="0022759A" w:rsidRDefault="0022759A" w:rsidP="008A110D">
            <w:pPr>
              <w:spacing w:after="12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b/>
                <w:color w:val="000000"/>
                <w:sz w:val="20"/>
                <w:szCs w:val="20"/>
                <w:lang w:eastAsia="en-GB"/>
              </w:rPr>
              <w:t>Session II</w:t>
            </w:r>
          </w:p>
        </w:tc>
      </w:tr>
      <w:tr w:rsidR="0022759A" w:rsidRPr="00164359" w14:paraId="340494F5" w14:textId="77777777" w:rsidTr="008A110D">
        <w:trPr>
          <w:trHeight w:val="336"/>
        </w:trPr>
        <w:tc>
          <w:tcPr>
            <w:tcW w:w="548" w:type="pct"/>
            <w:shd w:val="clear" w:color="auto" w:fill="auto"/>
            <w:noWrap/>
            <w:hideMark/>
          </w:tcPr>
          <w:p w14:paraId="73C97EBA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4452" w:type="pct"/>
            <w:shd w:val="clear" w:color="auto" w:fill="auto"/>
            <w:noWrap/>
            <w:hideMark/>
          </w:tcPr>
          <w:p w14:paraId="140F8F99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 xml:space="preserve">Overcoming barriers to female managers in the RMG sector by </w:t>
            </w:r>
            <w:r w:rsidRPr="0022759A">
              <w:rPr>
                <w:rFonts w:asciiTheme="majorHAnsi" w:hAnsiTheme="majorHAnsi" w:cs="Arial"/>
                <w:color w:val="222222"/>
                <w:sz w:val="20"/>
                <w:szCs w:val="20"/>
                <w:lang w:eastAsia="en-GB"/>
              </w:rPr>
              <w:t>Christopher Woodruff, University of Oxford, UK</w:t>
            </w:r>
          </w:p>
        </w:tc>
      </w:tr>
      <w:tr w:rsidR="0022759A" w:rsidRPr="00164359" w14:paraId="51E09A53" w14:textId="77777777" w:rsidTr="008A110D">
        <w:trPr>
          <w:trHeight w:val="312"/>
        </w:trPr>
        <w:tc>
          <w:tcPr>
            <w:tcW w:w="548" w:type="pct"/>
            <w:shd w:val="clear" w:color="auto" w:fill="auto"/>
            <w:noWrap/>
            <w:hideMark/>
          </w:tcPr>
          <w:p w14:paraId="2ED35392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11:50</w:t>
            </w:r>
          </w:p>
        </w:tc>
        <w:tc>
          <w:tcPr>
            <w:tcW w:w="4452" w:type="pct"/>
            <w:shd w:val="clear" w:color="auto" w:fill="auto"/>
            <w:noWrap/>
            <w:hideMark/>
          </w:tcPr>
          <w:p w14:paraId="7C39D656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 xml:space="preserve">Discussant: Director, </w:t>
            </w:r>
            <w:proofErr w:type="spellStart"/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Echotex</w:t>
            </w:r>
            <w:proofErr w:type="spellEnd"/>
          </w:p>
        </w:tc>
      </w:tr>
      <w:tr w:rsidR="0022759A" w:rsidRPr="00164359" w14:paraId="1D55AF91" w14:textId="77777777" w:rsidTr="008A110D">
        <w:trPr>
          <w:trHeight w:val="336"/>
        </w:trPr>
        <w:tc>
          <w:tcPr>
            <w:tcW w:w="548" w:type="pct"/>
            <w:shd w:val="clear" w:color="auto" w:fill="auto"/>
            <w:noWrap/>
            <w:hideMark/>
          </w:tcPr>
          <w:p w14:paraId="308D5060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12:00</w:t>
            </w:r>
          </w:p>
        </w:tc>
        <w:tc>
          <w:tcPr>
            <w:tcW w:w="4452" w:type="pct"/>
            <w:shd w:val="clear" w:color="auto" w:fill="auto"/>
            <w:noWrap/>
            <w:hideMark/>
          </w:tcPr>
          <w:p w14:paraId="38512DC5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 xml:space="preserve">Monitoring and Improvement in Physical Working Conditions: Evidence from The Accord Initiative in Bangladesh by </w:t>
            </w:r>
            <w:proofErr w:type="spellStart"/>
            <w:r w:rsidRPr="0022759A">
              <w:rPr>
                <w:rFonts w:asciiTheme="majorHAnsi" w:hAnsiTheme="majorHAnsi" w:cs="Arial"/>
                <w:color w:val="222222"/>
                <w:sz w:val="20"/>
                <w:szCs w:val="20"/>
                <w:lang w:eastAsia="en-GB"/>
              </w:rPr>
              <w:t>Atonu</w:t>
            </w:r>
            <w:proofErr w:type="spellEnd"/>
            <w:r w:rsidRPr="0022759A">
              <w:rPr>
                <w:rFonts w:asciiTheme="majorHAnsi" w:hAnsiTheme="majorHAnsi" w:cs="Arial"/>
                <w:color w:val="222222"/>
                <w:sz w:val="20"/>
                <w:szCs w:val="20"/>
                <w:lang w:eastAsia="en-GB"/>
              </w:rPr>
              <w:t xml:space="preserve"> Rabbani, University of Dhaka, Bangladesh </w:t>
            </w:r>
          </w:p>
        </w:tc>
      </w:tr>
      <w:tr w:rsidR="0022759A" w:rsidRPr="00164359" w14:paraId="39761DC8" w14:textId="77777777" w:rsidTr="008A110D">
        <w:trPr>
          <w:trHeight w:val="312"/>
        </w:trPr>
        <w:tc>
          <w:tcPr>
            <w:tcW w:w="548" w:type="pct"/>
            <w:shd w:val="clear" w:color="auto" w:fill="auto"/>
            <w:noWrap/>
            <w:hideMark/>
          </w:tcPr>
          <w:p w14:paraId="7B3D0EB6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12:30</w:t>
            </w:r>
          </w:p>
        </w:tc>
        <w:tc>
          <w:tcPr>
            <w:tcW w:w="4452" w:type="pct"/>
            <w:shd w:val="clear" w:color="auto" w:fill="auto"/>
            <w:noWrap/>
            <w:hideMark/>
          </w:tcPr>
          <w:p w14:paraId="706A4F6E" w14:textId="77777777" w:rsidR="0022759A" w:rsidRPr="0022759A" w:rsidRDefault="0022759A" w:rsidP="008A110D">
            <w:pPr>
              <w:spacing w:after="120"/>
              <w:rPr>
                <w:rFonts w:asciiTheme="majorHAnsi" w:hAnsiTheme="majorHAnsi" w:cs="Arial"/>
                <w:color w:val="222222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 xml:space="preserve">Information about safety hazards and job choice among Bangladeshi garment workers by </w:t>
            </w:r>
            <w:r w:rsidRPr="0022759A">
              <w:rPr>
                <w:rFonts w:asciiTheme="majorHAnsi" w:hAnsiTheme="majorHAnsi" w:cs="Arial"/>
                <w:color w:val="222222"/>
                <w:sz w:val="20"/>
                <w:szCs w:val="20"/>
                <w:lang w:eastAsia="en-GB"/>
              </w:rPr>
              <w:t>Laura Boudreau, University of California Berkeley, USA</w:t>
            </w:r>
          </w:p>
        </w:tc>
      </w:tr>
      <w:tr w:rsidR="0022759A" w:rsidRPr="00164359" w14:paraId="1310B246" w14:textId="77777777" w:rsidTr="008A110D">
        <w:trPr>
          <w:trHeight w:val="336"/>
        </w:trPr>
        <w:tc>
          <w:tcPr>
            <w:tcW w:w="548" w:type="pct"/>
            <w:shd w:val="clear" w:color="auto" w:fill="auto"/>
            <w:noWrap/>
            <w:hideMark/>
          </w:tcPr>
          <w:p w14:paraId="03614E03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4452" w:type="pct"/>
            <w:shd w:val="clear" w:color="auto" w:fill="auto"/>
            <w:noWrap/>
            <w:hideMark/>
          </w:tcPr>
          <w:p w14:paraId="46FA8016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Discussant: Maurice Brooks, Workplace Safety Specialist, International Labour Organization</w:t>
            </w:r>
          </w:p>
        </w:tc>
      </w:tr>
      <w:tr w:rsidR="0022759A" w:rsidRPr="00164359" w14:paraId="0519E26D" w14:textId="77777777" w:rsidTr="008A110D">
        <w:trPr>
          <w:trHeight w:val="312"/>
        </w:trPr>
        <w:tc>
          <w:tcPr>
            <w:tcW w:w="548" w:type="pct"/>
            <w:shd w:val="clear" w:color="auto" w:fill="auto"/>
            <w:noWrap/>
            <w:hideMark/>
          </w:tcPr>
          <w:p w14:paraId="0293D896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13:10</w:t>
            </w:r>
          </w:p>
        </w:tc>
        <w:tc>
          <w:tcPr>
            <w:tcW w:w="4452" w:type="pct"/>
            <w:shd w:val="clear" w:color="auto" w:fill="auto"/>
            <w:noWrap/>
            <w:hideMark/>
          </w:tcPr>
          <w:p w14:paraId="7CE8ABF5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Open floor discussion and Q&amp;A</w:t>
            </w:r>
          </w:p>
        </w:tc>
      </w:tr>
      <w:tr w:rsidR="0022759A" w:rsidRPr="00164359" w14:paraId="1278763B" w14:textId="77777777" w:rsidTr="008A110D">
        <w:trPr>
          <w:trHeight w:val="312"/>
        </w:trPr>
        <w:tc>
          <w:tcPr>
            <w:tcW w:w="548" w:type="pct"/>
            <w:shd w:val="clear" w:color="auto" w:fill="auto"/>
            <w:noWrap/>
            <w:hideMark/>
          </w:tcPr>
          <w:p w14:paraId="4D1022C6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13:25</w:t>
            </w:r>
          </w:p>
        </w:tc>
        <w:tc>
          <w:tcPr>
            <w:tcW w:w="4452" w:type="pct"/>
            <w:shd w:val="clear" w:color="auto" w:fill="auto"/>
            <w:noWrap/>
            <w:hideMark/>
          </w:tcPr>
          <w:p w14:paraId="7F12E217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Closing remarks</w:t>
            </w:r>
          </w:p>
        </w:tc>
      </w:tr>
      <w:tr w:rsidR="0022759A" w:rsidRPr="00164359" w14:paraId="05A5BFDD" w14:textId="77777777" w:rsidTr="008A110D">
        <w:trPr>
          <w:trHeight w:val="312"/>
        </w:trPr>
        <w:tc>
          <w:tcPr>
            <w:tcW w:w="548" w:type="pct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325C823C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13:30</w:t>
            </w:r>
          </w:p>
        </w:tc>
        <w:tc>
          <w:tcPr>
            <w:tcW w:w="4452" w:type="pct"/>
            <w:tcBorders>
              <w:bottom w:val="single" w:sz="4" w:space="0" w:color="auto"/>
            </w:tcBorders>
            <w:shd w:val="clear" w:color="auto" w:fill="B6DDE8" w:themeFill="accent5" w:themeFillTint="66"/>
            <w:noWrap/>
            <w:hideMark/>
          </w:tcPr>
          <w:p w14:paraId="21FD189B" w14:textId="77777777" w:rsidR="0022759A" w:rsidRPr="0022759A" w:rsidRDefault="0022759A" w:rsidP="008A110D">
            <w:pPr>
              <w:spacing w:after="120"/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22759A">
              <w:rPr>
                <w:rFonts w:asciiTheme="majorHAnsi" w:hAnsiTheme="majorHAnsi"/>
                <w:color w:val="000000"/>
                <w:sz w:val="20"/>
                <w:szCs w:val="20"/>
                <w:lang w:eastAsia="en-GB"/>
              </w:rPr>
              <w:t>Lunch</w:t>
            </w:r>
          </w:p>
        </w:tc>
      </w:tr>
    </w:tbl>
    <w:p w14:paraId="68568716" w14:textId="6016FF87" w:rsidR="00E9075D" w:rsidRPr="0022759A" w:rsidRDefault="00E9075D" w:rsidP="0022759A">
      <w:pPr>
        <w:tabs>
          <w:tab w:val="left" w:pos="1400"/>
        </w:tabs>
      </w:pPr>
    </w:p>
    <w:sectPr w:rsidR="00E9075D" w:rsidRPr="0022759A" w:rsidSect="00682426">
      <w:headerReference w:type="default" r:id="rId7"/>
      <w:pgSz w:w="11900" w:h="16840"/>
      <w:pgMar w:top="2805" w:right="1835" w:bottom="2835" w:left="1418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F0331" w14:textId="77777777" w:rsidR="00EC29F8" w:rsidRDefault="00EC29F8">
      <w:pPr>
        <w:spacing w:after="0"/>
      </w:pPr>
      <w:r>
        <w:separator/>
      </w:r>
    </w:p>
  </w:endnote>
  <w:endnote w:type="continuationSeparator" w:id="0">
    <w:p w14:paraId="656B0042" w14:textId="77777777" w:rsidR="00EC29F8" w:rsidRDefault="00EC2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-Grotesk Std Regular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Akzidenz-Grotesk Std Bold">
    <w:altName w:val="Britannic Bold"/>
    <w:charset w:val="00"/>
    <w:family w:val="auto"/>
    <w:pitch w:val="variable"/>
    <w:sig w:usb0="00000003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kzidenz Grotesk BE Regular">
    <w:charset w:val="00"/>
    <w:family w:val="auto"/>
    <w:pitch w:val="variable"/>
    <w:sig w:usb0="8000002F" w:usb1="4000004A" w:usb2="00000000" w:usb3="00000000" w:csb0="00000001" w:csb1="00000000"/>
  </w:font>
  <w:font w:name="AkzidenzGroteskBE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78842" w14:textId="77777777" w:rsidR="00EC29F8" w:rsidRDefault="00EC29F8">
      <w:pPr>
        <w:spacing w:after="0"/>
      </w:pPr>
      <w:r>
        <w:separator/>
      </w:r>
    </w:p>
  </w:footnote>
  <w:footnote w:type="continuationSeparator" w:id="0">
    <w:p w14:paraId="6D31130B" w14:textId="77777777" w:rsidR="00EC29F8" w:rsidRDefault="00EC29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93996" w14:textId="539ADFD8" w:rsidR="00EC29F8" w:rsidRDefault="00EC29F8" w:rsidP="00682426">
    <w:pPr>
      <w:pStyle w:val="Header"/>
      <w:ind w:left="-567" w:firstLine="2977"/>
      <w:rPr>
        <w:rFonts w:ascii="Arial" w:hAnsi="Arial" w:cs="Arial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CF9E77" wp14:editId="75391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781" cy="1069238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pg backgrounds:RSA_core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781" cy="10692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2426">
      <w:rPr>
        <w:rFonts w:ascii="Arial" w:hAnsi="Arial" w:cs="Arial"/>
        <w:sz w:val="18"/>
        <w:szCs w:val="18"/>
      </w:rPr>
      <w:t>Address</w:t>
    </w:r>
    <w:r w:rsidR="00682426" w:rsidRPr="00682426">
      <w:rPr>
        <w:rFonts w:ascii="Arial" w:hAnsi="Arial" w:cs="Arial"/>
        <w:sz w:val="18"/>
        <w:szCs w:val="18"/>
      </w:rPr>
      <w:t xml:space="preserve"> LINE 1</w:t>
    </w:r>
  </w:p>
  <w:p w14:paraId="7AC04950" w14:textId="59A098C6" w:rsidR="00682426" w:rsidRDefault="00682426" w:rsidP="00682426">
    <w:pPr>
      <w:pStyle w:val="Header"/>
      <w:ind w:left="-567" w:firstLine="297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Address</w:t>
    </w:r>
    <w:r w:rsidRPr="00682426">
      <w:rPr>
        <w:rFonts w:ascii="Arial" w:hAnsi="Arial" w:cs="Arial"/>
        <w:sz w:val="18"/>
        <w:szCs w:val="18"/>
      </w:rPr>
      <w:t xml:space="preserve"> LINE </w:t>
    </w:r>
    <w:r>
      <w:rPr>
        <w:rFonts w:ascii="Arial" w:hAnsi="Arial" w:cs="Arial"/>
        <w:sz w:val="18"/>
        <w:szCs w:val="18"/>
      </w:rPr>
      <w:t>2</w:t>
    </w:r>
  </w:p>
  <w:p w14:paraId="754F8B31" w14:textId="54200A52" w:rsidR="00682426" w:rsidRDefault="00682426" w:rsidP="00682426">
    <w:pPr>
      <w:pStyle w:val="Header"/>
      <w:ind w:left="-567" w:firstLine="297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Address</w:t>
    </w:r>
    <w:r w:rsidRPr="00682426">
      <w:rPr>
        <w:rFonts w:ascii="Arial" w:hAnsi="Arial" w:cs="Arial"/>
        <w:sz w:val="18"/>
        <w:szCs w:val="18"/>
      </w:rPr>
      <w:t xml:space="preserve"> LIN</w:t>
    </w:r>
    <w:r>
      <w:rPr>
        <w:rFonts w:ascii="Arial" w:hAnsi="Arial" w:cs="Arial"/>
        <w:sz w:val="18"/>
        <w:szCs w:val="18"/>
      </w:rPr>
      <w:t>E 3</w:t>
    </w:r>
  </w:p>
  <w:p w14:paraId="7D3899B3" w14:textId="3A9ADE37" w:rsidR="00682426" w:rsidRDefault="00682426" w:rsidP="00682426">
    <w:pPr>
      <w:pStyle w:val="Header"/>
      <w:ind w:left="-567" w:firstLine="297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Address</w:t>
    </w:r>
    <w:r w:rsidRPr="00682426">
      <w:rPr>
        <w:rFonts w:ascii="Arial" w:hAnsi="Arial" w:cs="Arial"/>
        <w:sz w:val="18"/>
        <w:szCs w:val="18"/>
      </w:rPr>
      <w:t xml:space="preserve"> LIN</w:t>
    </w:r>
    <w:r>
      <w:rPr>
        <w:rFonts w:ascii="Arial" w:hAnsi="Arial" w:cs="Arial"/>
        <w:sz w:val="18"/>
        <w:szCs w:val="18"/>
      </w:rPr>
      <w:t>E 4</w:t>
    </w:r>
  </w:p>
  <w:p w14:paraId="278FE559" w14:textId="77777777" w:rsidR="00682426" w:rsidRPr="00682426" w:rsidRDefault="00682426" w:rsidP="00682426">
    <w:pPr>
      <w:pStyle w:val="Header"/>
      <w:ind w:left="-567" w:firstLine="2835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5D"/>
    <w:rsid w:val="00086681"/>
    <w:rsid w:val="001C2775"/>
    <w:rsid w:val="0022759A"/>
    <w:rsid w:val="00246502"/>
    <w:rsid w:val="00261F88"/>
    <w:rsid w:val="00284379"/>
    <w:rsid w:val="003C6744"/>
    <w:rsid w:val="00450510"/>
    <w:rsid w:val="00513989"/>
    <w:rsid w:val="005A19E0"/>
    <w:rsid w:val="00623127"/>
    <w:rsid w:val="0065094B"/>
    <w:rsid w:val="00652D5B"/>
    <w:rsid w:val="00682426"/>
    <w:rsid w:val="006A6F08"/>
    <w:rsid w:val="0070401D"/>
    <w:rsid w:val="00882595"/>
    <w:rsid w:val="008914A5"/>
    <w:rsid w:val="00987B59"/>
    <w:rsid w:val="00A84D4B"/>
    <w:rsid w:val="00AF07D1"/>
    <w:rsid w:val="00B57085"/>
    <w:rsid w:val="00C072C6"/>
    <w:rsid w:val="00C07A16"/>
    <w:rsid w:val="00C22834"/>
    <w:rsid w:val="00C6623D"/>
    <w:rsid w:val="00CB0D18"/>
    <w:rsid w:val="00D82970"/>
    <w:rsid w:val="00D82B58"/>
    <w:rsid w:val="00E15CA1"/>
    <w:rsid w:val="00E31CBD"/>
    <w:rsid w:val="00E413F4"/>
    <w:rsid w:val="00E9075D"/>
    <w:rsid w:val="00EA12EB"/>
    <w:rsid w:val="00EC29F8"/>
    <w:rsid w:val="00EF7A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C65E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5B"/>
    <w:rPr>
      <w:rFonts w:ascii="Akzidenz-Grotesk Std Regular" w:hAnsi="Akzidenz-Grotesk Std Regular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970"/>
    <w:pPr>
      <w:keepNext/>
      <w:keepLines/>
      <w:spacing w:before="480" w:after="0"/>
      <w:outlineLvl w:val="0"/>
    </w:pPr>
    <w:rPr>
      <w:rFonts w:ascii="Akzidenz-Grotesk Std Bold" w:eastAsiaTheme="majorEastAsia" w:hAnsi="Akzidenz-Grotesk Std Bold" w:cstheme="majorBidi"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970"/>
    <w:pPr>
      <w:keepNext/>
      <w:keepLines/>
      <w:spacing w:before="200" w:after="0"/>
      <w:outlineLvl w:val="1"/>
    </w:pPr>
    <w:rPr>
      <w:rFonts w:ascii="Akzidenz-Grotesk Std Bold" w:eastAsiaTheme="majorEastAsia" w:hAnsi="Akzidenz-Grotesk Std Bold" w:cstheme="majorBidi"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970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4F6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2775"/>
    <w:rPr>
      <w:rFonts w:ascii="Akzidenz Grotesk BE Regular" w:hAnsi="Akzidenz Grotesk BE Regular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2775"/>
    <w:rPr>
      <w:rFonts w:ascii="Akzidenz Grotesk BE Regular" w:hAnsi="Akzidenz Grotesk BE Regular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2970"/>
    <w:rPr>
      <w:rFonts w:ascii="Akzidenz-Grotesk Std Bold" w:eastAsiaTheme="majorEastAsia" w:hAnsi="Akzidenz-Grotesk Std Bold" w:cstheme="majorBidi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2970"/>
    <w:rPr>
      <w:rFonts w:ascii="Akzidenz-Grotesk Std Bold" w:eastAsiaTheme="majorEastAsia" w:hAnsi="Akzidenz-Grotesk Std Bold" w:cstheme="majorBidi"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970"/>
    <w:rPr>
      <w:rFonts w:ascii="Akzidenz-Grotesk Std Regular" w:eastAsiaTheme="majorEastAsia" w:hAnsi="Akzidenz-Grotesk Std Regular" w:cstheme="majorBidi"/>
      <w:bCs/>
      <w:color w:val="000000" w:themeColor="text1"/>
      <w:sz w:val="24"/>
      <w:szCs w:val="24"/>
    </w:rPr>
  </w:style>
  <w:style w:type="paragraph" w:customStyle="1" w:styleId="jobtitle">
    <w:name w:val="job title"/>
    <w:basedOn w:val="Normal"/>
    <w:qFormat/>
    <w:rsid w:val="00652D5B"/>
    <w:pPr>
      <w:spacing w:after="0"/>
    </w:pPr>
    <w:rPr>
      <w:rFonts w:cs="AkzidenzGroteskBE-Regular"/>
      <w:szCs w:val="21"/>
    </w:rPr>
  </w:style>
  <w:style w:type="paragraph" w:customStyle="1" w:styleId="name">
    <w:name w:val="name"/>
    <w:basedOn w:val="Normal"/>
    <w:qFormat/>
    <w:rsid w:val="00652D5B"/>
    <w:pPr>
      <w:spacing w:after="0"/>
    </w:pPr>
    <w:rPr>
      <w:rFonts w:ascii="Akzidenz-Grotesk Std Bold" w:hAnsi="Akzidenz-Grotesk Std Bold" w:cs="AkzidenzGroteskBE-Regular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5B"/>
    <w:rPr>
      <w:rFonts w:ascii="Akzidenz-Grotesk Std Regular" w:hAnsi="Akzidenz-Grotesk Std Regular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970"/>
    <w:pPr>
      <w:keepNext/>
      <w:keepLines/>
      <w:spacing w:before="480" w:after="0"/>
      <w:outlineLvl w:val="0"/>
    </w:pPr>
    <w:rPr>
      <w:rFonts w:ascii="Akzidenz-Grotesk Std Bold" w:eastAsiaTheme="majorEastAsia" w:hAnsi="Akzidenz-Grotesk Std Bold" w:cstheme="majorBidi"/>
      <w:bC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970"/>
    <w:pPr>
      <w:keepNext/>
      <w:keepLines/>
      <w:spacing w:before="200" w:after="0"/>
      <w:outlineLvl w:val="1"/>
    </w:pPr>
    <w:rPr>
      <w:rFonts w:ascii="Akzidenz-Grotesk Std Bold" w:eastAsiaTheme="majorEastAsia" w:hAnsi="Akzidenz-Grotesk Std Bold" w:cstheme="majorBidi"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970"/>
    <w:pPr>
      <w:keepNext/>
      <w:keepLines/>
      <w:spacing w:before="200"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4F6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7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2775"/>
    <w:rPr>
      <w:rFonts w:ascii="Akzidenz Grotesk BE Regular" w:hAnsi="Akzidenz Grotesk BE Regular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C277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2775"/>
    <w:rPr>
      <w:rFonts w:ascii="Akzidenz Grotesk BE Regular" w:hAnsi="Akzidenz Grotesk BE Regular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2970"/>
    <w:rPr>
      <w:rFonts w:ascii="Akzidenz-Grotesk Std Bold" w:eastAsiaTheme="majorEastAsia" w:hAnsi="Akzidenz-Grotesk Std Bold" w:cstheme="majorBidi"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2970"/>
    <w:rPr>
      <w:rFonts w:ascii="Akzidenz-Grotesk Std Bold" w:eastAsiaTheme="majorEastAsia" w:hAnsi="Akzidenz-Grotesk Std Bold" w:cstheme="majorBidi"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970"/>
    <w:rPr>
      <w:rFonts w:ascii="Akzidenz-Grotesk Std Regular" w:eastAsiaTheme="majorEastAsia" w:hAnsi="Akzidenz-Grotesk Std Regular" w:cstheme="majorBidi"/>
      <w:bCs/>
      <w:color w:val="000000" w:themeColor="text1"/>
      <w:sz w:val="24"/>
      <w:szCs w:val="24"/>
    </w:rPr>
  </w:style>
  <w:style w:type="paragraph" w:customStyle="1" w:styleId="jobtitle">
    <w:name w:val="job title"/>
    <w:basedOn w:val="Normal"/>
    <w:qFormat/>
    <w:rsid w:val="00652D5B"/>
    <w:pPr>
      <w:spacing w:after="0"/>
    </w:pPr>
    <w:rPr>
      <w:rFonts w:cs="AkzidenzGroteskBE-Regular"/>
      <w:szCs w:val="21"/>
    </w:rPr>
  </w:style>
  <w:style w:type="paragraph" w:customStyle="1" w:styleId="name">
    <w:name w:val="name"/>
    <w:basedOn w:val="Normal"/>
    <w:qFormat/>
    <w:rsid w:val="00652D5B"/>
    <w:pPr>
      <w:spacing w:after="0"/>
    </w:pPr>
    <w:rPr>
      <w:rFonts w:ascii="Akzidenz-Grotesk Std Bold" w:hAnsi="Akzidenz-Grotesk Std Bold" w:cs="AkzidenzGroteskBE-Regular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D397FD80.dotm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UNA-UK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Schwartz</dc:creator>
  <cp:lastModifiedBy>Elisabetta</cp:lastModifiedBy>
  <cp:revision>2</cp:revision>
  <cp:lastPrinted>2014-09-01T13:57:00Z</cp:lastPrinted>
  <dcterms:created xsi:type="dcterms:W3CDTF">2017-07-06T16:17:00Z</dcterms:created>
  <dcterms:modified xsi:type="dcterms:W3CDTF">2017-07-06T16:17:00Z</dcterms:modified>
</cp:coreProperties>
</file>